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14:paraId="672A6659" wp14:textId="77777777">
      <w:pPr>
        <w:spacing w:after="200"/>
      </w:pPr>
      <w:r>
        <w:drawing>
          <wp:inline xmlns:wp14="http://schemas.microsoft.com/office/word/2010/wordprocessingDrawing" distT="0" distB="0" distL="0" distR="0" wp14:anchorId="1D383862" wp14:editId="7777777">
            <wp:extent cx="2209800" cy="409575"/>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209800" cy="409575"/>
                    </a:xfrm>
                    <a:prstGeom prst="rect">
                      <a:avLst/>
                    </a:prstGeom>
                  </pic:spPr>
                </pic:pic>
              </a:graphicData>
            </a:graphic>
          </wp:inline>
        </w:drawing>
      </w:r>
    </w:p>
    <w:p xmlns:wp14="http://schemas.microsoft.com/office/word/2010/wordml" w14:paraId="2C092DDB" wp14:textId="77777777">
      <w:pPr>
        <w:spacing w:after="60" w:line="276"/>
      </w:pPr>
      <w:r>
        <w:rPr>
          <w:rFonts w:ascii="Arial" w:hAnsi="Arial" w:eastAsia="Arial" w:cs="Arial"/>
          <w:b/>
          <w:bCs/>
          <w:i w:val="false"/>
          <w:iCs w:val="false"/>
          <w:color w:val="23211F"/>
          <w:sz w:val="40"/>
          <w:szCs w:val="40"/>
        </w:rPr>
        <w:t xml:space="preserve">Recycled Packaging Supplier Review</w:t>
      </w:r>
    </w:p>
    <w:p xmlns:wp14="http://schemas.microsoft.com/office/word/2010/wordml" w14:paraId="4ED0EB7B" wp14:textId="77777777">
      <w:pPr>
        <w:pBdr>
          <w:bottom w:val="single" w:color="F58741" w:sz="14" w:space="6"/>
        </w:pBdr>
        <w:spacing w:after="120"/>
      </w:pPr>
      <w:r>
        <w:rPr>
          <w:rFonts w:ascii="Arial" w:hAnsi="Arial" w:eastAsia="Arial" w:cs="Arial"/>
          <w:b w:val="false"/>
          <w:bCs w:val="false"/>
          <w:i/>
          <w:iCs/>
          <w:color w:val="F58741"/>
          <w:sz w:val="24"/>
          <w:szCs w:val="24"/>
        </w:rPr>
        <w:t xml:space="preserve">A PPWR-aligned procurement checklist</w:t>
      </w:r>
    </w:p>
    <w:p xmlns:wp14="http://schemas.microsoft.com/office/word/2010/wordml" w14:paraId="0A37501D" wp14:textId="77777777">
      <w:pPr>
        <w:spacing w:after="80"/>
      </w:pPr>
    </w:p>
    <w:p xmlns:wp14="http://schemas.microsoft.com/office/word/2010/wordml" w14:paraId="768CAC21" wp14:textId="77777777">
      <w:pPr>
        <w:spacing w:before="0" w:after="120" w:line="264"/>
      </w:pPr>
      <w:r>
        <w:rPr>
          <w:rFonts w:ascii="Arial" w:hAnsi="Arial" w:eastAsia="Arial" w:cs="Arial"/>
          <w:b w:val="false"/>
          <w:bCs w:val="false"/>
          <w:i w:val="false"/>
          <w:iCs w:val="false"/>
          <w:color w:val="23211F"/>
          <w:sz w:val="21"/>
          <w:szCs w:val="21"/>
        </w:rPr>
        <w:t xml:space="preserve">Regulation (EU) 2025/40, the Packaging and Packaging Waste Regulation, generally applies from 12 August 2026. The brand owner placing packaging on the EU market is typically the manufacturer for PPWR purposes, and prepares the EU Declaration of Conformity and the Technical Documentation that sits behind it. Much of the evidence inside that file comes from suppliers.</w:t>
      </w:r>
    </w:p>
    <w:p xmlns:wp14="http://schemas.microsoft.com/office/word/2010/wordml" w14:paraId="117B788F" wp14:textId="77777777">
      <w:pPr>
        <w:spacing w:before="0" w:after="160" w:line="264"/>
      </w:pPr>
      <w:r>
        <w:rPr>
          <w:rFonts w:ascii="Arial" w:hAnsi="Arial" w:eastAsia="Arial" w:cs="Arial"/>
          <w:b w:val="false"/>
          <w:bCs w:val="false"/>
          <w:i w:val="false"/>
          <w:iCs w:val="false"/>
          <w:color w:val="23211F"/>
          <w:sz w:val="21"/>
          <w:szCs w:val="21"/>
        </w:rPr>
        <w:t xml:space="preserve">This checklist is built around the six questions buyers should be asking recycled packaging suppliers now, well in advance of the application date. It is designed to live inside a supplier file. Print it, fill it in, attach it to quotes, and use the comparison table at the end when reviewing more than one supplier against the same brief.</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1400"/>
        <w:gridCol w:w="3280"/>
        <w:gridCol w:w="1400"/>
        <w:gridCol w:w="3280"/>
      </w:tblGrid>
      <w:tr xmlns:wp14="http://schemas.microsoft.com/office/word/2010/wordml" w14:paraId="725CE189" wp14:textId="77777777">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44C08853" wp14:textId="77777777">
            <w:pPr>
              <w:spacing w:before="0" w:after="0" w:line="252"/>
            </w:pPr>
            <w:r>
              <w:rPr>
                <w:rFonts w:ascii="Arial" w:hAnsi="Arial" w:eastAsia="Arial" w:cs="Arial"/>
                <w:b/>
                <w:bCs/>
                <w:i w:val="false"/>
                <w:iCs w:val="false"/>
                <w:color w:val="23211F"/>
                <w:sz w:val="19"/>
                <w:szCs w:val="19"/>
              </w:rPr>
              <w:t xml:space="preserve">Supplier</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5DAB6C7B" wp14:textId="77777777">
            <w:pPr>
              <w:spacing w:before="0" w:after="0" w:line="252"/>
            </w:pPr>
            <w:r>
              <w:rPr>
                <w:rFonts w:ascii="Arial" w:hAnsi="Arial" w:eastAsia="Arial" w:cs="Arial"/>
                <w:b w:val="false"/>
                <w:bCs w:val="false"/>
                <w:i w:val="false"/>
                <w:iCs w:val="false"/>
                <w:color w:val="23211F"/>
                <w:sz w:val="18"/>
                <w:szCs w:val="18"/>
              </w:rPr>
            </w:r>
          </w:p>
        </w:tc>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101A0893" wp14:textId="77777777">
            <w:pPr>
              <w:spacing w:before="0" w:after="0" w:line="252"/>
            </w:pPr>
            <w:r>
              <w:rPr>
                <w:rFonts w:ascii="Arial" w:hAnsi="Arial" w:eastAsia="Arial" w:cs="Arial"/>
                <w:b/>
                <w:bCs/>
                <w:i w:val="false"/>
                <w:iCs w:val="false"/>
                <w:color w:val="23211F"/>
                <w:sz w:val="19"/>
                <w:szCs w:val="19"/>
              </w:rPr>
              <w:t xml:space="preserve">Material</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02EB378F" wp14:textId="77777777">
            <w:pPr>
              <w:spacing w:before="0" w:after="0" w:line="252"/>
            </w:pPr>
            <w:r>
              <w:rPr>
                <w:rFonts w:ascii="Arial" w:hAnsi="Arial" w:eastAsia="Arial" w:cs="Arial"/>
                <w:b w:val="false"/>
                <w:bCs w:val="false"/>
                <w:i w:val="false"/>
                <w:iCs w:val="false"/>
                <w:color w:val="23211F"/>
                <w:sz w:val="18"/>
                <w:szCs w:val="18"/>
              </w:rPr>
            </w:r>
          </w:p>
        </w:tc>
      </w:tr>
      <w:tr xmlns:wp14="http://schemas.microsoft.com/office/word/2010/wordml" w14:paraId="728F0385" wp14:textId="77777777">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491072FA" wp14:textId="77777777">
            <w:pPr>
              <w:spacing w:before="0" w:after="0" w:line="252"/>
            </w:pPr>
            <w:r>
              <w:rPr>
                <w:rFonts w:ascii="Arial" w:hAnsi="Arial" w:eastAsia="Arial" w:cs="Arial"/>
                <w:b/>
                <w:bCs/>
                <w:i w:val="false"/>
                <w:iCs w:val="false"/>
                <w:color w:val="23211F"/>
                <w:sz w:val="19"/>
                <w:szCs w:val="19"/>
              </w:rPr>
              <w:t xml:space="preserve">Date</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6A05A809" wp14:textId="77777777">
            <w:pPr>
              <w:spacing w:before="0" w:after="0" w:line="252"/>
            </w:pPr>
            <w:r>
              <w:rPr>
                <w:rFonts w:ascii="Arial" w:hAnsi="Arial" w:eastAsia="Arial" w:cs="Arial"/>
                <w:b w:val="false"/>
                <w:bCs w:val="false"/>
                <w:i w:val="false"/>
                <w:iCs w:val="false"/>
                <w:color w:val="23211F"/>
                <w:sz w:val="18"/>
                <w:szCs w:val="18"/>
              </w:rPr>
            </w:r>
          </w:p>
        </w:tc>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4480B6AE" wp14:textId="77777777">
            <w:pPr>
              <w:spacing w:before="0" w:after="0" w:line="252"/>
            </w:pPr>
            <w:r>
              <w:rPr>
                <w:rFonts w:ascii="Arial" w:hAnsi="Arial" w:eastAsia="Arial" w:cs="Arial"/>
                <w:b/>
                <w:bCs/>
                <w:i w:val="false"/>
                <w:iCs w:val="false"/>
                <w:color w:val="23211F"/>
                <w:sz w:val="19"/>
                <w:szCs w:val="19"/>
              </w:rPr>
              <w:t xml:space="preserve">Reviewer</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5A39BBE3" wp14:textId="77777777">
            <w:pPr>
              <w:spacing w:before="0" w:after="0" w:line="252"/>
            </w:pPr>
            <w:r>
              <w:rPr>
                <w:rFonts w:ascii="Arial" w:hAnsi="Arial" w:eastAsia="Arial" w:cs="Arial"/>
                <w:b w:val="false"/>
                <w:bCs w:val="false"/>
                <w:i w:val="false"/>
                <w:iCs w:val="false"/>
                <w:color w:val="23211F"/>
                <w:sz w:val="18"/>
                <w:szCs w:val="18"/>
              </w:rPr>
            </w:r>
          </w:p>
        </w:tc>
      </w:tr>
      <w:tr xmlns:wp14="http://schemas.microsoft.com/office/word/2010/wordml" w14:paraId="25951A7A" wp14:textId="77777777">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2BCC458A" wp14:textId="77777777">
            <w:pPr>
              <w:spacing w:before="0" w:after="0" w:line="252"/>
            </w:pPr>
            <w:r>
              <w:rPr>
                <w:rFonts w:ascii="Arial" w:hAnsi="Arial" w:eastAsia="Arial" w:cs="Arial"/>
                <w:b/>
                <w:bCs/>
                <w:i w:val="false"/>
                <w:iCs w:val="false"/>
                <w:color w:val="23211F"/>
                <w:sz w:val="19"/>
                <w:szCs w:val="19"/>
              </w:rPr>
              <w:t xml:space="preserve">Application</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173B54BA" wp14:textId="77777777">
            <w:pPr>
              <w:spacing w:before="0" w:after="0" w:line="252"/>
            </w:pPr>
            <w:r>
              <w:rPr>
                <w:rFonts w:ascii="Arial" w:hAnsi="Arial" w:eastAsia="Arial" w:cs="Arial"/>
                <w:b w:val="false"/>
                <w:bCs w:val="false"/>
                <w:i/>
                <w:iCs/>
                <w:color w:val="6B6864"/>
                <w:sz w:val="18"/>
                <w:szCs w:val="18"/>
              </w:rPr>
              <w:t xml:space="preserve">e.g. food-contact, secondary packaging, reusable bag, mailer</w:t>
            </w:r>
          </w:p>
        </w:tc>
        <w:tc>
          <w:tcPr>
            <w:tcW w:w="14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center"/>
          </w:tcPr>
          <w:p w14:paraId="0F17B624" wp14:textId="77777777">
            <w:pPr>
              <w:spacing w:before="0" w:after="0" w:line="252"/>
            </w:pPr>
            <w:r>
              <w:rPr>
                <w:rFonts w:ascii="Arial" w:hAnsi="Arial" w:eastAsia="Arial" w:cs="Arial"/>
                <w:b/>
                <w:bCs/>
                <w:i w:val="false"/>
                <w:iCs w:val="false"/>
                <w:color w:val="23211F"/>
                <w:sz w:val="19"/>
                <w:szCs w:val="19"/>
              </w:rPr>
              <w:t xml:space="preserve">Use case</w:t>
            </w:r>
          </w:p>
        </w:tc>
        <w:tc>
          <w:tcPr>
            <w:tcW w:w="328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center"/>
          </w:tcPr>
          <w:p w14:paraId="4DE87992" wp14:textId="77777777">
            <w:pPr>
              <w:spacing w:before="0" w:after="0" w:line="252"/>
            </w:pPr>
            <w:r>
              <w:rPr>
                <w:rFonts w:ascii="Arial" w:hAnsi="Arial" w:eastAsia="Arial" w:cs="Arial"/>
                <w:b w:val="false"/>
                <w:bCs w:val="false"/>
                <w:i/>
                <w:iCs/>
                <w:color w:val="6B6864"/>
                <w:sz w:val="18"/>
                <w:szCs w:val="18"/>
              </w:rPr>
              <w:t xml:space="preserve">e.g. retail line, e-commerce, B2B logistics</w:t>
            </w:r>
          </w:p>
        </w:tc>
      </w:tr>
    </w:tbl>
    <w:p xmlns:wp14="http://schemas.microsoft.com/office/word/2010/wordml" w14:paraId="41C8F396" wp14:textId="77777777">
      <w:pPr>
        <w:spacing w:after="60"/>
      </w:pPr>
    </w:p>
    <w:p xmlns:wp14="http://schemas.microsoft.com/office/word/2010/wordml" w14:paraId="073CD8CB"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How to use this checklist</w:t>
      </w:r>
    </w:p>
    <w:p xmlns:wp14="http://schemas.microsoft.com/office/word/2010/wordml" w14:paraId="74D4FF88" wp14:textId="77777777">
      <w:pPr>
        <w:spacing w:before="0" w:after="100" w:line="264"/>
      </w:pPr>
      <w:r>
        <w:rPr>
          <w:rFonts w:ascii="Arial" w:hAnsi="Arial" w:eastAsia="Arial" w:cs="Arial"/>
          <w:b w:val="false"/>
          <w:bCs w:val="false"/>
          <w:i w:val="false"/>
          <w:iCs w:val="false"/>
          <w:color w:val="23211F"/>
          <w:sz w:val="21"/>
          <w:szCs w:val="21"/>
        </w:rPr>
        <w:t xml:space="preserve">Send the six questions to a candidate supplier as part of your standard sourcing process, or work through them in a review meeting. Mark each section Green, Amber or Red based on the response. Use the timeline panel to decide which evidence you need at which stage, and the comparison table to compare suppliers on the same brief.</w:t>
      </w:r>
    </w:p>
    <w:p xmlns:wp14="http://schemas.microsoft.com/office/word/2010/wordml" w14:paraId="5A8C8F5E" wp14:textId="77777777">
      <w:pPr>
        <w:spacing w:before="0" w:after="80" w:line="260"/>
      </w:pPr>
      <w:r>
        <w:rPr>
          <w:rFonts w:ascii="Arial" w:hAnsi="Arial" w:eastAsia="Arial" w:cs="Arial"/>
          <w:b/>
          <w:bCs/>
          <w:i/>
          <w:iCs/>
          <w:color w:val="6B6864"/>
          <w:sz w:val="20"/>
          <w:szCs w:val="20"/>
        </w:rPr>
        <w:t xml:space="preserve">A note on scope.  </w:t>
      </w:r>
      <w:r>
        <w:rPr>
          <w:rFonts w:ascii="Arial" w:hAnsi="Arial" w:eastAsia="Arial" w:cs="Arial"/>
          <w:b w:val="false"/>
          <w:bCs w:val="false"/>
          <w:i/>
          <w:iCs/>
          <w:color w:val="6B6864"/>
          <w:sz w:val="20"/>
          <w:szCs w:val="20"/>
        </w:rPr>
        <w:t xml:space="preserve">Not every PPWR requirement applies to every packaging application. Food-contact requirements and PFAS restrictions are more relevant for some applications than others. Use the checklist as a baseline and add or remove evidence requests based on the specific product.</w:t>
      </w:r>
    </w:p>
    <w:p xmlns:wp14="http://schemas.microsoft.com/office/word/2010/wordml" w14:paraId="51350520"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The six questions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rsidTr="2ACEFE50" w14:paraId="346A4C26"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541B7D9D" wp14:textId="77777777">
            <w:pPr>
              <w:spacing w:before="0" w:after="0" w:line="252"/>
            </w:pPr>
            <w:r>
              <w:rPr>
                <w:rFonts w:ascii="Arial" w:hAnsi="Arial" w:eastAsia="Arial" w:cs="Arial"/>
                <w:b/>
                <w:bCs/>
                <w:i w:val="false"/>
                <w:iCs w:val="false"/>
                <w:color w:val="FFFFFF"/>
                <w:sz w:val="23"/>
                <w:szCs w:val="23"/>
              </w:rPr>
              <w:t xml:space="preserve">Q1.  </w:t>
            </w:r>
            <w:r>
              <w:rPr>
                <w:rFonts w:ascii="Arial" w:hAnsi="Arial" w:eastAsia="Arial" w:cs="Arial"/>
                <w:b/>
                <w:bCs/>
                <w:i w:val="false"/>
                <w:iCs w:val="false"/>
                <w:color w:val="FFFFFF"/>
                <w:sz w:val="23"/>
                <w:szCs w:val="23"/>
              </w:rPr>
              <w:t xml:space="preserve">What recycled material stream is being used?</w:t>
            </w:r>
          </w:p>
        </w:tc>
      </w:tr>
      <w:tr xmlns:wp14="http://schemas.microsoft.com/office/word/2010/wordml" w:rsidTr="2ACEFE50" w14:paraId="2761D848"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060F4134"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Post-consumer and post-industrial streams differ in traceability, technical properties and regulatory exposure. The input stream shapes which evidence the supplier can provide and how confidently substances of concern and food-contact requirements can be addressed.</w:t>
            </w:r>
          </w:p>
        </w:tc>
      </w:tr>
      <w:tr xmlns:wp14="http://schemas.microsoft.com/office/word/2010/wordml" w:rsidTr="2ACEFE50" w14:paraId="1C529201"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4A235A3B" wp14:textId="77777777">
            <w:pPr>
              <w:spacing w:before="0" w:after="70" w:line="252"/>
            </w:pPr>
            <w:r>
              <w:rPr>
                <w:rFonts w:ascii="Arial" w:hAnsi="Arial" w:eastAsia="Arial" w:cs="Arial"/>
                <w:b/>
                <w:bCs/>
                <w:i w:val="false"/>
                <w:iCs w:val="false"/>
                <w:color w:val="23211F"/>
                <w:sz w:val="18"/>
                <w:szCs w:val="18"/>
              </w:rPr>
              <w:t xml:space="preserve">Evidence to request</w:t>
            </w:r>
          </w:p>
          <w:p w14:paraId="444052F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Material type confirmed (e.g. rPET, rPP, rPE, rLDPE)</w:t>
            </w:r>
          </w:p>
          <w:p w14:paraId="7A104C8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Stream confirmed as post-consumer or post-industrial</w:t>
            </w:r>
          </w:p>
          <w:p w14:paraId="5065C239"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Source material described (e.g. PET bottles, food containers)</w:t>
            </w:r>
          </w:p>
          <w:p w14:paraId="0267842C"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Geographic origin of input feedstock</w:t>
            </w:r>
          </w:p>
          <w:p w14:paraId="2A7BD2C8"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Confirmation of food-grade vs non-food-grade input where relevant</w:t>
            </w:r>
          </w:p>
          <w:p w14:paraId="27D56E61"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Article 7 (recycled content in plastic packaging), evidenced via Annex VII.</w:t>
            </w:r>
          </w:p>
          <w:p w14:paraId="2E2B39A0"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Material identification section of your Technical Documentation.</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rsidR="2ACEFE50" w:rsidP="2ACEFE50" w:rsidRDefault="2ACEFE50" w14:paraId="698066DF" w14:textId="0514F035">
            <w:pPr>
              <w:spacing w:before="0" w:after="60" w:line="252" w:lineRule="auto"/>
            </w:pPr>
            <w:r w:rsidRPr="2ACEFE50" w:rsidR="2ACEFE50">
              <w:rPr>
                <w:rFonts w:ascii="Arial" w:hAnsi="Arial" w:eastAsia="Arial" w:cs="Arial"/>
                <w:b w:val="1"/>
                <w:bCs w:val="1"/>
                <w:i w:val="0"/>
                <w:iCs w:val="0"/>
                <w:color w:val="23211F"/>
                <w:sz w:val="18"/>
                <w:szCs w:val="18"/>
              </w:rPr>
              <w:t>Supplier response</w:t>
            </w:r>
          </w:p>
          <w:p w:rsidR="2ACEFE50" w:rsidP="2ACEFE50" w:rsidRDefault="2ACEFE50" w14:paraId="27C4E5DF" w14:textId="780E71AE">
            <w:pPr>
              <w:spacing w:before="0" w:after="60" w:line="252" w:lineRule="auto"/>
              <w:rPr>
                <w:rFonts w:ascii="Arial" w:hAnsi="Arial" w:eastAsia="Arial" w:cs="Arial"/>
                <w:b w:val="1"/>
                <w:bCs w:val="1"/>
                <w:i w:val="0"/>
                <w:iCs w:val="0"/>
                <w:color w:val="23211F"/>
                <w:sz w:val="18"/>
                <w:szCs w:val="18"/>
              </w:rPr>
            </w:pPr>
          </w:p>
          <w:p w14:paraId="0D0B940D" wp14:textId="77777777">
            <w:pPr>
              <w:spacing w:before="0" w:after="120" w:line="252"/>
            </w:pPr>
            <w:r>
              <w:rPr>
                <w:rFonts w:ascii="Arial" w:hAnsi="Arial" w:eastAsia="Arial" w:cs="Arial"/>
                <w:b w:val="false"/>
                <w:bCs w:val="false"/>
                <w:i w:val="false"/>
                <w:iCs w:val="false"/>
                <w:color w:val="23211F"/>
                <w:sz w:val="18"/>
                <w:szCs w:val="18"/>
              </w:rPr>
            </w:r>
          </w:p>
          <w:p w14:paraId="657C3913" wp14:textId="77777777">
            <w:pPr>
              <w:spacing w:before="0" w:after="60" w:line="252"/>
            </w:pPr>
            <w:r>
              <w:rPr>
                <w:rFonts w:ascii="Arial" w:hAnsi="Arial" w:eastAsia="Arial" w:cs="Arial"/>
                <w:b/>
                <w:bCs/>
                <w:i w:val="false"/>
                <w:iCs w:val="false"/>
                <w:color w:val="23211F"/>
                <w:sz w:val="18"/>
                <w:szCs w:val="18"/>
              </w:rPr>
              <w:t xml:space="preserve">Score</w:t>
            </w:r>
          </w:p>
          <w:p w14:paraId="354FA927"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3584ECB6"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1776A214"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0E27B00A" wp14:textId="77777777">
      <w:pPr>
        <w:spacing w:after="12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14:paraId="0E9A0126"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58B446F5" wp14:textId="77777777">
            <w:pPr>
              <w:spacing w:before="0" w:after="0" w:line="252"/>
            </w:pPr>
            <w:r>
              <w:rPr>
                <w:rFonts w:ascii="Arial" w:hAnsi="Arial" w:eastAsia="Arial" w:cs="Arial"/>
                <w:b/>
                <w:bCs/>
                <w:i w:val="false"/>
                <w:iCs w:val="false"/>
                <w:color w:val="FFFFFF"/>
                <w:sz w:val="23"/>
                <w:szCs w:val="23"/>
              </w:rPr>
              <w:t xml:space="preserve">Q2.  </w:t>
            </w:r>
            <w:r>
              <w:rPr>
                <w:rFonts w:ascii="Arial" w:hAnsi="Arial" w:eastAsia="Arial" w:cs="Arial"/>
                <w:b/>
                <w:bCs/>
                <w:i w:val="false"/>
                <w:iCs w:val="false"/>
                <w:color w:val="FFFFFF"/>
                <w:sz w:val="23"/>
                <w:szCs w:val="23"/>
              </w:rPr>
              <w:t xml:space="preserve">What evidence supports the recycled-content claim?</w:t>
            </w:r>
          </w:p>
        </w:tc>
      </w:tr>
      <w:tr xmlns:wp14="http://schemas.microsoft.com/office/word/2010/wordml" w14:paraId="159DD464"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1B62677E"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A recycled-content claim is only as strong as the evidence behind it. Buyers need a verifiable basis for the claim that they can reference in their own sourcing records and conformity file.</w:t>
            </w:r>
          </w:p>
        </w:tc>
      </w:tr>
      <w:tr xmlns:wp14="http://schemas.microsoft.com/office/word/2010/wordml" w14:paraId="7FD8F1BA"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0F8E6934" wp14:textId="77777777">
            <w:pPr>
              <w:spacing w:before="0" w:after="70" w:line="252"/>
            </w:pPr>
            <w:r>
              <w:rPr>
                <w:rFonts w:ascii="Arial" w:hAnsi="Arial" w:eastAsia="Arial" w:cs="Arial"/>
                <w:b/>
                <w:bCs/>
                <w:i w:val="false"/>
                <w:iCs w:val="false"/>
                <w:color w:val="23211F"/>
                <w:sz w:val="18"/>
                <w:szCs w:val="18"/>
              </w:rPr>
              <w:t xml:space="preserve">Evidence to request</w:t>
            </w:r>
          </w:p>
          <w:p w14:paraId="4DCDC3E1"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Third-party certification (e.g. GRS, RCS) with current scope certificate</w:t>
            </w:r>
          </w:p>
          <w:p w14:paraId="37FE47D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Per-order recycled content report or environmental impact report</w:t>
            </w:r>
          </w:p>
          <w:p w14:paraId="14305481"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Transaction documentation linking input volumes to output volumes</w:t>
            </w:r>
          </w:p>
          <w:p w14:paraId="68B1FCAD"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Test results from a recognised methodology where applicable</w:t>
            </w:r>
          </w:p>
          <w:p w14:paraId="0A5EE29C"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Where rPET is involved: in-house methodology (e.g. RA3) with independent validation</w:t>
            </w:r>
          </w:p>
          <w:p w14:paraId="3CA75C6C"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Article 7 recycled content thresholds and verification expectations.</w:t>
            </w:r>
          </w:p>
          <w:p w14:paraId="057F5DB4"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Evidence supporting recycled content claims declared in your EU DoC.</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4C0F31EB" wp14:textId="77777777">
            <w:pPr>
              <w:spacing w:before="0" w:after="60" w:line="252"/>
            </w:pPr>
            <w:r>
              <w:rPr>
                <w:rFonts w:ascii="Arial" w:hAnsi="Arial" w:eastAsia="Arial" w:cs="Arial"/>
                <w:b/>
                <w:bCs/>
                <w:i w:val="false"/>
                <w:iCs w:val="false"/>
                <w:color w:val="23211F"/>
                <w:sz w:val="18"/>
                <w:szCs w:val="18"/>
              </w:rPr>
              <w:t xml:space="preserve">Supplier response</w:t>
            </w:r>
          </w:p>
          <w:p w14:paraId="60061E4C" wp14:textId="77777777">
            <w:pPr>
              <w:spacing w:before="0" w:after="60" w:line="252"/>
            </w:pPr>
            <w:r>
              <w:rPr>
                <w:rFonts w:ascii="Arial" w:hAnsi="Arial" w:eastAsia="Arial" w:cs="Arial"/>
                <w:b w:val="false"/>
                <w:bCs w:val="false"/>
                <w:i w:val="false"/>
                <w:iCs w:val="false"/>
                <w:color w:val="23211F"/>
                <w:sz w:val="18"/>
                <w:szCs w:val="18"/>
              </w:rPr>
            </w:r>
          </w:p>
          <w:p w14:paraId="44EAFD9C" wp14:textId="77777777">
            <w:pPr>
              <w:spacing w:before="0" w:after="120" w:line="252"/>
            </w:pPr>
            <w:r>
              <w:rPr>
                <w:rFonts w:ascii="Arial" w:hAnsi="Arial" w:eastAsia="Arial" w:cs="Arial"/>
                <w:b w:val="false"/>
                <w:bCs w:val="false"/>
                <w:i w:val="false"/>
                <w:iCs w:val="false"/>
                <w:color w:val="23211F"/>
                <w:sz w:val="18"/>
                <w:szCs w:val="18"/>
              </w:rPr>
            </w:r>
          </w:p>
          <w:p w14:paraId="5F37C625" wp14:textId="77777777">
            <w:pPr>
              <w:spacing w:before="0" w:after="60" w:line="252"/>
            </w:pPr>
            <w:r>
              <w:rPr>
                <w:rFonts w:ascii="Arial" w:hAnsi="Arial" w:eastAsia="Arial" w:cs="Arial"/>
                <w:b/>
                <w:bCs/>
                <w:i w:val="false"/>
                <w:iCs w:val="false"/>
                <w:color w:val="23211F"/>
                <w:sz w:val="18"/>
                <w:szCs w:val="18"/>
              </w:rPr>
              <w:t xml:space="preserve">Score</w:t>
            </w:r>
          </w:p>
          <w:p w14:paraId="015065EE"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6122DCA2"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6E025FE8"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4B94D5A5" wp14:textId="77777777">
      <w:pPr>
        <w:spacing w:after="12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14:paraId="7924AF39"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012C6ACA" wp14:textId="77777777">
            <w:pPr>
              <w:spacing w:before="0" w:after="0" w:line="252"/>
            </w:pPr>
            <w:r>
              <w:rPr>
                <w:rFonts w:ascii="Arial" w:hAnsi="Arial" w:eastAsia="Arial" w:cs="Arial"/>
                <w:b/>
                <w:bCs/>
                <w:i w:val="false"/>
                <w:iCs w:val="false"/>
                <w:color w:val="FFFFFF"/>
                <w:sz w:val="23"/>
                <w:szCs w:val="23"/>
              </w:rPr>
              <w:t xml:space="preserve">Q3.  </w:t>
            </w:r>
            <w:r>
              <w:rPr>
                <w:rFonts w:ascii="Arial" w:hAnsi="Arial" w:eastAsia="Arial" w:cs="Arial"/>
                <w:b/>
                <w:bCs/>
                <w:i w:val="false"/>
                <w:iCs w:val="false"/>
                <w:color w:val="FFFFFF"/>
                <w:sz w:val="23"/>
                <w:szCs w:val="23"/>
              </w:rPr>
              <w:t xml:space="preserve">Can the supplier provide material declarations or test reports?</w:t>
            </w:r>
          </w:p>
        </w:tc>
      </w:tr>
      <w:tr xmlns:wp14="http://schemas.microsoft.com/office/word/2010/wordml" w14:paraId="051F25CB"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30327A8D"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Buyers need to know what packaging is made from, including coatings, inks, adhesives and auxiliary substances. Some information sits at material level and some at product level.</w:t>
            </w:r>
          </w:p>
        </w:tc>
      </w:tr>
      <w:tr xmlns:wp14="http://schemas.microsoft.com/office/word/2010/wordml" w14:paraId="451A625F"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9512E85" wp14:textId="77777777">
            <w:pPr>
              <w:spacing w:before="0" w:after="70" w:line="252"/>
            </w:pPr>
            <w:r>
              <w:rPr>
                <w:rFonts w:ascii="Arial" w:hAnsi="Arial" w:eastAsia="Arial" w:cs="Arial"/>
                <w:b/>
                <w:bCs/>
                <w:i w:val="false"/>
                <w:iCs w:val="false"/>
                <w:color w:val="23211F"/>
                <w:sz w:val="18"/>
                <w:szCs w:val="18"/>
              </w:rPr>
              <w:t xml:space="preserve">Evidence to request</w:t>
            </w:r>
          </w:p>
          <w:p w14:paraId="5DA5B47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Material declaration for the base recycled polymer</w:t>
            </w:r>
          </w:p>
          <w:p w14:paraId="298C5151"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Information on coatings, inks, adhesives and auxiliaries used</w:t>
            </w:r>
          </w:p>
          <w:p w14:paraId="0B146FFF"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Test reports from accredited or recognised laboratories</w:t>
            </w:r>
          </w:p>
          <w:p w14:paraId="4C10444A"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Confirmation of which documents are material-level and which are order-level</w:t>
            </w:r>
          </w:p>
          <w:p w14:paraId="5A0E2DE8"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Indication of typical lead time to issue documentation for a specific order</w:t>
            </w:r>
          </w:p>
          <w:p w14:paraId="06B365B4"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Annex VII Technical Documentation requirements.</w:t>
            </w:r>
          </w:p>
          <w:p w14:paraId="48EFAD88"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Material composition and test evidence inputs.</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7FFB98B4" wp14:textId="77777777">
            <w:pPr>
              <w:spacing w:before="0" w:after="60" w:line="252"/>
            </w:pPr>
            <w:r>
              <w:rPr>
                <w:rFonts w:ascii="Arial" w:hAnsi="Arial" w:eastAsia="Arial" w:cs="Arial"/>
                <w:b/>
                <w:bCs/>
                <w:i w:val="false"/>
                <w:iCs w:val="false"/>
                <w:color w:val="23211F"/>
                <w:sz w:val="18"/>
                <w:szCs w:val="18"/>
              </w:rPr>
              <w:t xml:space="preserve">Supplier response</w:t>
            </w:r>
          </w:p>
          <w:p w14:paraId="3DEEC669" wp14:textId="77777777">
            <w:pPr>
              <w:spacing w:before="0" w:after="60" w:line="252"/>
            </w:pPr>
            <w:r>
              <w:rPr>
                <w:rFonts w:ascii="Arial" w:hAnsi="Arial" w:eastAsia="Arial" w:cs="Arial"/>
                <w:b w:val="false"/>
                <w:bCs w:val="false"/>
                <w:i w:val="false"/>
                <w:iCs w:val="false"/>
                <w:color w:val="23211F"/>
                <w:sz w:val="18"/>
                <w:szCs w:val="18"/>
              </w:rPr>
            </w:r>
          </w:p>
          <w:p w14:paraId="3656B9AB" wp14:textId="77777777">
            <w:pPr>
              <w:spacing w:before="0" w:after="120" w:line="252"/>
            </w:pPr>
            <w:r>
              <w:rPr>
                <w:rFonts w:ascii="Arial" w:hAnsi="Arial" w:eastAsia="Arial" w:cs="Arial"/>
                <w:b w:val="false"/>
                <w:bCs w:val="false"/>
                <w:i w:val="false"/>
                <w:iCs w:val="false"/>
                <w:color w:val="23211F"/>
                <w:sz w:val="18"/>
                <w:szCs w:val="18"/>
              </w:rPr>
            </w:r>
          </w:p>
          <w:p w14:paraId="0A28460F" wp14:textId="77777777">
            <w:pPr>
              <w:spacing w:before="0" w:after="60" w:line="252"/>
            </w:pPr>
            <w:r>
              <w:rPr>
                <w:rFonts w:ascii="Arial" w:hAnsi="Arial" w:eastAsia="Arial" w:cs="Arial"/>
                <w:b/>
                <w:bCs/>
                <w:i w:val="false"/>
                <w:iCs w:val="false"/>
                <w:color w:val="23211F"/>
                <w:sz w:val="18"/>
                <w:szCs w:val="18"/>
              </w:rPr>
              <w:t xml:space="preserve">Score</w:t>
            </w:r>
          </w:p>
          <w:p w14:paraId="65B3CD8C"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2C2DAC78"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6D85F4D6"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45FB0818" wp14:textId="77777777">
      <w:pPr>
        <w:spacing w:after="12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14:paraId="0D8BC2B1"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5DE12497" wp14:textId="77777777">
            <w:pPr>
              <w:spacing w:before="0" w:after="0" w:line="252"/>
            </w:pPr>
            <w:r>
              <w:rPr>
                <w:rFonts w:ascii="Arial" w:hAnsi="Arial" w:eastAsia="Arial" w:cs="Arial"/>
                <w:b/>
                <w:bCs/>
                <w:i w:val="false"/>
                <w:iCs w:val="false"/>
                <w:color w:val="FFFFFF"/>
                <w:sz w:val="23"/>
                <w:szCs w:val="23"/>
              </w:rPr>
              <w:t xml:space="preserve">Q4.  </w:t>
            </w:r>
            <w:r>
              <w:rPr>
                <w:rFonts w:ascii="Arial" w:hAnsi="Arial" w:eastAsia="Arial" w:cs="Arial"/>
                <w:b/>
                <w:bCs/>
                <w:i w:val="false"/>
                <w:iCs w:val="false"/>
                <w:color w:val="FFFFFF"/>
                <w:sz w:val="23"/>
                <w:szCs w:val="23"/>
              </w:rPr>
              <w:t xml:space="preserve">Has the supplier considered substances of concern?</w:t>
            </w:r>
          </w:p>
        </w:tc>
      </w:tr>
      <w:tr xmlns:wp14="http://schemas.microsoft.com/office/word/2010/wordml" w14:paraId="516C59AE"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38A34775"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PPWR sets clear limits on certain substances. Buyers should understand whether the supplier has a process to identify and document substance risks, not only whether they can confirm compliance in principle.</w:t>
            </w:r>
          </w:p>
        </w:tc>
      </w:tr>
      <w:tr xmlns:wp14="http://schemas.microsoft.com/office/word/2010/wordml" w14:paraId="02BEA611"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118CBAF" wp14:textId="77777777">
            <w:pPr>
              <w:spacing w:before="0" w:after="70" w:line="252"/>
            </w:pPr>
            <w:r>
              <w:rPr>
                <w:rFonts w:ascii="Arial" w:hAnsi="Arial" w:eastAsia="Arial" w:cs="Arial"/>
                <w:b/>
                <w:bCs/>
                <w:i w:val="false"/>
                <w:iCs w:val="false"/>
                <w:color w:val="23211F"/>
                <w:sz w:val="18"/>
                <w:szCs w:val="18"/>
              </w:rPr>
              <w:t xml:space="preserve">Evidence to request</w:t>
            </w:r>
          </w:p>
          <w:p w14:paraId="7904AA2F"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Heavy metals declaration: combined Pb + Cd + Hg + Cr(VI) at or below 100 mg/kg</w:t>
            </w:r>
          </w:p>
          <w:p w14:paraId="1107C948"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For food-contact applications: PFAS evidence covering individual PFAS at or below 25 ppb, sum of PFAS at or below 250 ppb, and total fluorine at or below 50 mg/kg (screening threshold)</w:t>
            </w:r>
          </w:p>
          <w:p w14:paraId="750E943F"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SVHC (REACH candidate list) screening process described</w:t>
            </w:r>
          </w:p>
          <w:p w14:paraId="29E2EF1C"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Approach to coatings, inks and adhesives where substance risk is concentrated</w:t>
            </w:r>
          </w:p>
          <w:p w14:paraId="4F3BCF32"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Statement on monitoring updates to the candidate list and PPWR delegated acts</w:t>
            </w:r>
          </w:p>
          <w:p w14:paraId="096D3CA2"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Article 5 (substances of concern), heavy metals limit at 100 mg/kg combined, PFAS in food-contact packaging screened via total fluorine at 50 mg/kg.</w:t>
            </w:r>
          </w:p>
          <w:p w14:paraId="2F9DF260"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Substances of concern section of your Technical Documentation.</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2DF6DA06" wp14:textId="77777777">
            <w:pPr>
              <w:spacing w:before="0" w:after="60" w:line="252"/>
            </w:pPr>
            <w:r>
              <w:rPr>
                <w:rFonts w:ascii="Arial" w:hAnsi="Arial" w:eastAsia="Arial" w:cs="Arial"/>
                <w:b/>
                <w:bCs/>
                <w:i w:val="false"/>
                <w:iCs w:val="false"/>
                <w:color w:val="23211F"/>
                <w:sz w:val="18"/>
                <w:szCs w:val="18"/>
              </w:rPr>
              <w:t xml:space="preserve">Supplier response</w:t>
            </w:r>
          </w:p>
          <w:p w14:paraId="049F31CB" wp14:textId="77777777">
            <w:pPr>
              <w:spacing w:before="0" w:after="60" w:line="252"/>
            </w:pPr>
            <w:r>
              <w:rPr>
                <w:rFonts w:ascii="Arial" w:hAnsi="Arial" w:eastAsia="Arial" w:cs="Arial"/>
                <w:b w:val="false"/>
                <w:bCs w:val="false"/>
                <w:i w:val="false"/>
                <w:iCs w:val="false"/>
                <w:color w:val="23211F"/>
                <w:sz w:val="18"/>
                <w:szCs w:val="18"/>
              </w:rPr>
            </w:r>
          </w:p>
          <w:p w14:paraId="53128261" wp14:textId="77777777">
            <w:pPr>
              <w:spacing w:before="0" w:after="120" w:line="252"/>
            </w:pPr>
            <w:r>
              <w:rPr>
                <w:rFonts w:ascii="Arial" w:hAnsi="Arial" w:eastAsia="Arial" w:cs="Arial"/>
                <w:b w:val="false"/>
                <w:bCs w:val="false"/>
                <w:i w:val="false"/>
                <w:iCs w:val="false"/>
                <w:color w:val="23211F"/>
                <w:sz w:val="18"/>
                <w:szCs w:val="18"/>
              </w:rPr>
            </w:r>
          </w:p>
          <w:p w14:paraId="094DF971" wp14:textId="77777777">
            <w:pPr>
              <w:spacing w:before="0" w:after="60" w:line="252"/>
            </w:pPr>
            <w:r>
              <w:rPr>
                <w:rFonts w:ascii="Arial" w:hAnsi="Arial" w:eastAsia="Arial" w:cs="Arial"/>
                <w:b/>
                <w:bCs/>
                <w:i w:val="false"/>
                <w:iCs w:val="false"/>
                <w:color w:val="23211F"/>
                <w:sz w:val="18"/>
                <w:szCs w:val="18"/>
              </w:rPr>
              <w:t xml:space="preserve">Score</w:t>
            </w:r>
          </w:p>
          <w:p w14:paraId="5D52B631"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78A6636E"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7F2EC0F8"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62486C05" wp14:textId="77777777">
      <w:pPr>
        <w:spacing w:after="12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14:paraId="5D9E3901"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1B7B10FB" wp14:textId="77777777">
            <w:pPr>
              <w:spacing w:before="0" w:after="0" w:line="252"/>
            </w:pPr>
            <w:r>
              <w:rPr>
                <w:rFonts w:ascii="Arial" w:hAnsi="Arial" w:eastAsia="Arial" w:cs="Arial"/>
                <w:b/>
                <w:bCs/>
                <w:i w:val="false"/>
                <w:iCs w:val="false"/>
                <w:color w:val="FFFFFF"/>
                <w:sz w:val="23"/>
                <w:szCs w:val="23"/>
              </w:rPr>
              <w:t xml:space="preserve">Q5.  </w:t>
            </w:r>
            <w:r>
              <w:rPr>
                <w:rFonts w:ascii="Arial" w:hAnsi="Arial" w:eastAsia="Arial" w:cs="Arial"/>
                <w:b/>
                <w:bCs/>
                <w:i w:val="false"/>
                <w:iCs w:val="false"/>
                <w:color w:val="FFFFFF"/>
                <w:sz w:val="23"/>
                <w:szCs w:val="23"/>
              </w:rPr>
              <w:t xml:space="preserve">Is the evidence representative or order-specific?</w:t>
            </w:r>
          </w:p>
        </w:tc>
      </w:tr>
      <w:tr xmlns:wp14="http://schemas.microsoft.com/office/word/2010/wordml" w14:paraId="146F9B55"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147DD872"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Suppliers typically offer two routes for advance documentation. Representative evidence is useful for material-level questions but may not cover a specific product configuration. Knowing where the line sits helps you plan documentation requests around quoting and order placement rather than around the application date.</w:t>
            </w:r>
          </w:p>
        </w:tc>
      </w:tr>
      <w:tr xmlns:wp14="http://schemas.microsoft.com/office/word/2010/wordml" w14:paraId="2111808D"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BB71EBD" wp14:textId="77777777">
            <w:pPr>
              <w:spacing w:before="0" w:after="70" w:line="252"/>
            </w:pPr>
            <w:r>
              <w:rPr>
                <w:rFonts w:ascii="Arial" w:hAnsi="Arial" w:eastAsia="Arial" w:cs="Arial"/>
                <w:b/>
                <w:bCs/>
                <w:i w:val="false"/>
                <w:iCs w:val="false"/>
                <w:color w:val="23211F"/>
                <w:sz w:val="18"/>
                <w:szCs w:val="18"/>
              </w:rPr>
              <w:t xml:space="preserve">Evidence to request</w:t>
            </w:r>
          </w:p>
          <w:p w14:paraId="50044A68"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Representative material-level evidence available now</w:t>
            </w:r>
          </w:p>
          <w:p w14:paraId="5B147FFD"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General supplier declaration of conformance to PPWR provided</w:t>
            </w:r>
          </w:p>
          <w:p w14:paraId="1D084ED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List of items that can only be issued at enquiry or order level</w:t>
            </w:r>
          </w:p>
          <w:p w14:paraId="1188F299"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Confirmation of how labelling, construction, print or coating affect documentation</w:t>
            </w:r>
          </w:p>
          <w:p w14:paraId="2F60FEE3"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Process for requesting order-specific evidence and typical turnaround time</w:t>
            </w:r>
          </w:p>
          <w:p w14:paraId="62BC36F2"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Practical consequence of Annex VII Technical Documentation structure.</w:t>
            </w:r>
          </w:p>
          <w:p w14:paraId="3D6DD53A"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Document control log inside your Technical Documentation.</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00D798F9" wp14:textId="77777777">
            <w:pPr>
              <w:spacing w:before="0" w:after="60" w:line="252"/>
            </w:pPr>
            <w:r>
              <w:rPr>
                <w:rFonts w:ascii="Arial" w:hAnsi="Arial" w:eastAsia="Arial" w:cs="Arial"/>
                <w:b/>
                <w:bCs/>
                <w:i w:val="false"/>
                <w:iCs w:val="false"/>
                <w:color w:val="23211F"/>
                <w:sz w:val="18"/>
                <w:szCs w:val="18"/>
              </w:rPr>
              <w:t xml:space="preserve">Supplier response</w:t>
            </w:r>
          </w:p>
          <w:p w14:paraId="4101652C" wp14:textId="77777777">
            <w:pPr>
              <w:spacing w:before="0" w:after="60" w:line="252"/>
            </w:pPr>
            <w:r>
              <w:rPr>
                <w:rFonts w:ascii="Arial" w:hAnsi="Arial" w:eastAsia="Arial" w:cs="Arial"/>
                <w:b w:val="false"/>
                <w:bCs w:val="false"/>
                <w:i w:val="false"/>
                <w:iCs w:val="false"/>
                <w:color w:val="23211F"/>
                <w:sz w:val="18"/>
                <w:szCs w:val="18"/>
              </w:rPr>
            </w:r>
          </w:p>
          <w:p w14:paraId="4B99056E" wp14:textId="77777777">
            <w:pPr>
              <w:spacing w:before="0" w:after="120" w:line="252"/>
            </w:pPr>
            <w:r>
              <w:rPr>
                <w:rFonts w:ascii="Arial" w:hAnsi="Arial" w:eastAsia="Arial" w:cs="Arial"/>
                <w:b w:val="false"/>
                <w:bCs w:val="false"/>
                <w:i w:val="false"/>
                <w:iCs w:val="false"/>
                <w:color w:val="23211F"/>
                <w:sz w:val="18"/>
                <w:szCs w:val="18"/>
              </w:rPr>
            </w:r>
          </w:p>
          <w:p w14:paraId="4C5285FC" wp14:textId="77777777">
            <w:pPr>
              <w:spacing w:before="0" w:after="60" w:line="252"/>
            </w:pPr>
            <w:r>
              <w:rPr>
                <w:rFonts w:ascii="Arial" w:hAnsi="Arial" w:eastAsia="Arial" w:cs="Arial"/>
                <w:b/>
                <w:bCs/>
                <w:i w:val="false"/>
                <w:iCs w:val="false"/>
                <w:color w:val="23211F"/>
                <w:sz w:val="18"/>
                <w:szCs w:val="18"/>
              </w:rPr>
              <w:t xml:space="preserve">Score</w:t>
            </w:r>
          </w:p>
          <w:p w14:paraId="40FE3971"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38F1C3B2"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7D017FBF"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1299C43A" wp14:textId="77777777">
      <w:pPr>
        <w:spacing w:after="12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xmlns:wp14="http://schemas.microsoft.com/office/word/2010/wordml" w14:paraId="08A441BB" wp14:textId="77777777">
        <w:tc>
          <w:tcPr>
            <w:tcW w:w="9360" w:type="dxa"/>
            <w:gridSpan w:val="2"/>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0E7ABC3A" wp14:textId="77777777">
            <w:pPr>
              <w:spacing w:before="0" w:after="0" w:line="252"/>
            </w:pPr>
            <w:r>
              <w:rPr>
                <w:rFonts w:ascii="Arial" w:hAnsi="Arial" w:eastAsia="Arial" w:cs="Arial"/>
                <w:b/>
                <w:bCs/>
                <w:i w:val="false"/>
                <w:iCs w:val="false"/>
                <w:color w:val="FFFFFF"/>
                <w:sz w:val="23"/>
                <w:szCs w:val="23"/>
              </w:rPr>
              <w:t xml:space="preserve">Q6.  </w:t>
            </w:r>
            <w:r>
              <w:rPr>
                <w:rFonts w:ascii="Arial" w:hAnsi="Arial" w:eastAsia="Arial" w:cs="Arial"/>
                <w:b/>
                <w:bCs/>
                <w:i w:val="false"/>
                <w:iCs w:val="false"/>
                <w:color w:val="FFFFFF"/>
                <w:sz w:val="23"/>
                <w:szCs w:val="23"/>
              </w:rPr>
              <w:t xml:space="preserve">Can the supplier support the brand's Technical Documentation?</w:t>
            </w:r>
          </w:p>
        </w:tc>
      </w:tr>
      <w:tr xmlns:wp14="http://schemas.microsoft.com/office/word/2010/wordml" w14:paraId="4349052F" wp14:textId="77777777">
        <w:tc>
          <w:tcPr>
            <w:tcW w:w="9360" w:type="dxa"/>
            <w:gridSpan w:val="2"/>
            <w:tcBorders>
              <w:top w:val="single" w:color="E2DED9" w:sz="2"/>
              <w:left w:val="single" w:color="E2DED9" w:sz="2"/>
              <w:bottom w:val="single" w:color="E2DED9" w:sz="2"/>
              <w:right w:val="single" w:color="E2DED9" w:sz="2"/>
            </w:tcBorders>
            <w:shd w:val="clear" w:color="auto" w:fill="FEF5EE"/>
            <w:tcMar>
              <w:top w:w="70" w:type="dxa"/>
              <w:left w:w="130" w:type="dxa"/>
              <w:bottom w:w="70" w:type="dxa"/>
              <w:right w:w="130" w:type="dxa"/>
            </w:tcMar>
            <w:vAlign w:val="top"/>
          </w:tcPr>
          <w:p w14:paraId="3079ABF7" wp14:textId="77777777">
            <w:pPr>
              <w:spacing w:before="0" w:after="0" w:line="248"/>
            </w:pPr>
            <w:r>
              <w:rPr>
                <w:rFonts w:ascii="Arial" w:hAnsi="Arial" w:eastAsia="Arial" w:cs="Arial"/>
                <w:b/>
                <w:bCs/>
                <w:i w:val="false"/>
                <w:iCs w:val="false"/>
                <w:color w:val="23211F"/>
                <w:sz w:val="19"/>
                <w:szCs w:val="19"/>
              </w:rPr>
              <w:t xml:space="preserve">Why it matters.  </w:t>
            </w:r>
            <w:r>
              <w:rPr>
                <w:rFonts w:ascii="Arial" w:hAnsi="Arial" w:eastAsia="Arial" w:cs="Arial"/>
                <w:b w:val="false"/>
                <w:bCs w:val="false"/>
                <w:i w:val="false"/>
                <w:iCs w:val="false"/>
                <w:color w:val="23211F"/>
                <w:sz w:val="19"/>
                <w:szCs w:val="19"/>
              </w:rPr>
              <w:t xml:space="preserve">The EU Declaration of Conformity and Technical Documentation are held by the brand. Supplier information is one of the inputs. Buyers should know whether the supplier can deliver evidence in a usable, referenceable format.</w:t>
            </w:r>
          </w:p>
        </w:tc>
      </w:tr>
      <w:tr xmlns:wp14="http://schemas.microsoft.com/office/word/2010/wordml" w14:paraId="319A3043" wp14:textId="77777777">
        <w:tc>
          <w:tcPr>
            <w:tcW w:w="60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3F7C0CED" wp14:textId="77777777">
            <w:pPr>
              <w:spacing w:before="0" w:after="70" w:line="252"/>
            </w:pPr>
            <w:r>
              <w:rPr>
                <w:rFonts w:ascii="Arial" w:hAnsi="Arial" w:eastAsia="Arial" w:cs="Arial"/>
                <w:b/>
                <w:bCs/>
                <w:i w:val="false"/>
                <w:iCs w:val="false"/>
                <w:color w:val="23211F"/>
                <w:sz w:val="18"/>
                <w:szCs w:val="18"/>
              </w:rPr>
              <w:t xml:space="preserve">Evidence to request</w:t>
            </w:r>
          </w:p>
          <w:p w14:paraId="6B0BE8CB"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Material declarations issued in a format that can be referenced inside your DoC</w:t>
            </w:r>
          </w:p>
          <w:p w14:paraId="55E49751"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Test reports with clear scope, methodology and laboratory identification</w:t>
            </w:r>
          </w:p>
          <w:p w14:paraId="5FA80AA9"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Certification documents (factory and material) with current validity dates</w:t>
            </w:r>
          </w:p>
          <w:p w14:paraId="274C3A90"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Single point of contact named for documentation requests</w:t>
            </w:r>
          </w:p>
          <w:p w14:paraId="5CB7EAC6" wp14:textId="77777777">
            <w:pPr>
              <w:spacing w:after="50" w:line="240"/>
            </w:pPr>
            <w:r>
              <w:rPr>
                <w:rFonts w:ascii="Arial" w:hAnsi="Arial" w:eastAsia="Arial" w:cs="Arial"/>
                <w:b w:val="false"/>
                <w:bCs w:val="false"/>
                <w:i w:val="false"/>
                <w:iCs w:val="false"/>
                <w:color w:val="23211F"/>
                <w:sz w:val="18"/>
                <w:szCs w:val="18"/>
              </w:rPr>
              <w:t xml:space="preserve">☐  </w:t>
            </w:r>
            <w:r>
              <w:rPr>
                <w:rFonts w:ascii="Arial" w:hAnsi="Arial" w:eastAsia="Arial" w:cs="Arial"/>
                <w:b w:val="false"/>
                <w:bCs w:val="false"/>
                <w:i w:val="false"/>
                <w:iCs w:val="false"/>
                <w:color w:val="23211F"/>
                <w:sz w:val="18"/>
                <w:szCs w:val="18"/>
              </w:rPr>
              <w:t xml:space="preserve">Willingness to support audits or buyer due diligence on request</w:t>
            </w:r>
          </w:p>
          <w:p w14:paraId="15DCC36D" wp14:textId="77777777">
            <w:pPr>
              <w:spacing w:before="90" w:after="50" w:line="252"/>
            </w:pPr>
            <w:r>
              <w:rPr>
                <w:rFonts w:ascii="Arial" w:hAnsi="Arial" w:eastAsia="Arial" w:cs="Arial"/>
                <w:b/>
                <w:bCs/>
                <w:i/>
                <w:iCs/>
                <w:color w:val="6B6864"/>
                <w:sz w:val="17"/>
                <w:szCs w:val="17"/>
              </w:rPr>
              <w:t xml:space="preserve">PPWR reference. </w:t>
            </w:r>
            <w:r>
              <w:rPr>
                <w:rFonts w:ascii="Arial" w:hAnsi="Arial" w:eastAsia="Arial" w:cs="Arial"/>
                <w:b w:val="false"/>
                <w:bCs w:val="false"/>
                <w:i/>
                <w:iCs/>
                <w:color w:val="6B6864"/>
                <w:sz w:val="17"/>
                <w:szCs w:val="17"/>
              </w:rPr>
              <w:t xml:space="preserve">Article 39 (EU Declaration of Conformity) and Annex VII (Technical Documentation).</w:t>
            </w:r>
          </w:p>
          <w:p w14:paraId="21C93FF1" wp14:textId="77777777">
            <w:pPr>
              <w:spacing w:before="0" w:after="20" w:line="252"/>
            </w:pPr>
            <w:r>
              <w:rPr>
                <w:rFonts w:ascii="Arial" w:hAnsi="Arial" w:eastAsia="Arial" w:cs="Arial"/>
                <w:b/>
                <w:bCs/>
                <w:i/>
                <w:iCs/>
                <w:color w:val="6B6864"/>
                <w:sz w:val="17"/>
                <w:szCs w:val="17"/>
              </w:rPr>
              <w:t xml:space="preserve">Feeds your Technical Documentation as. </w:t>
            </w:r>
            <w:r>
              <w:rPr>
                <w:rFonts w:ascii="Arial" w:hAnsi="Arial" w:eastAsia="Arial" w:cs="Arial"/>
                <w:b w:val="false"/>
                <w:bCs w:val="false"/>
                <w:i/>
                <w:iCs/>
                <w:color w:val="6B6864"/>
                <w:sz w:val="17"/>
                <w:szCs w:val="17"/>
              </w:rPr>
              <w:t xml:space="preserve">Direct input into your conformity assessment file.</w:t>
            </w:r>
          </w:p>
        </w:tc>
        <w:tc>
          <w:tcPr>
            <w:tcW w:w="33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33DC9E3B" wp14:textId="77777777">
            <w:pPr>
              <w:spacing w:before="0" w:after="60" w:line="252"/>
            </w:pPr>
            <w:r>
              <w:rPr>
                <w:rFonts w:ascii="Arial" w:hAnsi="Arial" w:eastAsia="Arial" w:cs="Arial"/>
                <w:b/>
                <w:bCs/>
                <w:i w:val="false"/>
                <w:iCs w:val="false"/>
                <w:color w:val="23211F"/>
                <w:sz w:val="18"/>
                <w:szCs w:val="18"/>
              </w:rPr>
              <w:t xml:space="preserve">Supplier response</w:t>
            </w:r>
          </w:p>
          <w:p w14:paraId="4DDBEF00" wp14:textId="77777777">
            <w:pPr>
              <w:spacing w:before="0" w:after="60" w:line="252"/>
            </w:pPr>
            <w:r>
              <w:rPr>
                <w:rFonts w:ascii="Arial" w:hAnsi="Arial" w:eastAsia="Arial" w:cs="Arial"/>
                <w:b w:val="false"/>
                <w:bCs w:val="false"/>
                <w:i w:val="false"/>
                <w:iCs w:val="false"/>
                <w:color w:val="23211F"/>
                <w:sz w:val="18"/>
                <w:szCs w:val="18"/>
              </w:rPr>
            </w:r>
          </w:p>
          <w:p w14:paraId="3461D779" wp14:textId="77777777">
            <w:pPr>
              <w:spacing w:before="0" w:after="120" w:line="252"/>
            </w:pPr>
            <w:r>
              <w:rPr>
                <w:rFonts w:ascii="Arial" w:hAnsi="Arial" w:eastAsia="Arial" w:cs="Arial"/>
                <w:b w:val="false"/>
                <w:bCs w:val="false"/>
                <w:i w:val="false"/>
                <w:iCs w:val="false"/>
                <w:color w:val="23211F"/>
                <w:sz w:val="18"/>
                <w:szCs w:val="18"/>
              </w:rPr>
            </w:r>
          </w:p>
          <w:p w14:paraId="5B54CF2A" wp14:textId="77777777">
            <w:pPr>
              <w:spacing w:before="0" w:after="60" w:line="252"/>
            </w:pPr>
            <w:r>
              <w:rPr>
                <w:rFonts w:ascii="Arial" w:hAnsi="Arial" w:eastAsia="Arial" w:cs="Arial"/>
                <w:b/>
                <w:bCs/>
                <w:i w:val="false"/>
                <w:iCs w:val="false"/>
                <w:color w:val="23211F"/>
                <w:sz w:val="18"/>
                <w:szCs w:val="18"/>
              </w:rPr>
              <w:t xml:space="preserve">Score</w:t>
            </w:r>
          </w:p>
          <w:p w14:paraId="06E48F4E"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Green: evidence provided, fit for purpose</w:t>
            </w:r>
          </w:p>
          <w:p w14:paraId="22BD3089"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Amber: partial, follow up needed</w:t>
            </w:r>
          </w:p>
          <w:p w14:paraId="7720E89B" wp14:textId="77777777">
            <w:pPr>
              <w:spacing w:after="50" w:line="240"/>
            </w:pPr>
            <w:r>
              <w:rPr>
                <w:rFonts w:ascii="Arial" w:hAnsi="Arial" w:eastAsia="Arial" w:cs="Arial"/>
                <w:b w:val="false"/>
                <w:bCs w:val="false"/>
                <w:i w:val="false"/>
                <w:iCs w:val="false"/>
                <w:color w:val="23211F"/>
                <w:sz w:val="17"/>
                <w:szCs w:val="17"/>
              </w:rPr>
              <w:t xml:space="preserve">☐  </w:t>
            </w:r>
            <w:r>
              <w:rPr>
                <w:rFonts w:ascii="Arial" w:hAnsi="Arial" w:eastAsia="Arial" w:cs="Arial"/>
                <w:b w:val="false"/>
                <w:bCs w:val="false"/>
                <w:i w:val="false"/>
                <w:iCs w:val="false"/>
                <w:color w:val="23211F"/>
                <w:sz w:val="17"/>
                <w:szCs w:val="17"/>
              </w:rPr>
              <w:t xml:space="preserve">Red: missing or unclear</w:t>
            </w:r>
          </w:p>
        </w:tc>
      </w:tr>
    </w:tbl>
    <w:p xmlns:wp14="http://schemas.microsoft.com/office/word/2010/wordml" w14:paraId="469AD660"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Timeline: which evidence at which stage</w:t>
      </w:r>
    </w:p>
    <w:p xmlns:wp14="http://schemas.microsoft.com/office/word/2010/wordml" w14:paraId="6C1CF439" wp14:textId="77777777">
      <w:pPr>
        <w:spacing w:before="0" w:after="120" w:line="264"/>
      </w:pPr>
      <w:r>
        <w:rPr>
          <w:rFonts w:ascii="Arial" w:hAnsi="Arial" w:eastAsia="Arial" w:cs="Arial"/>
          <w:b w:val="false"/>
          <w:bCs w:val="false"/>
          <w:i w:val="false"/>
          <w:iCs w:val="false"/>
          <w:color w:val="23211F"/>
          <w:sz w:val="21"/>
          <w:szCs w:val="21"/>
        </w:rPr>
        <w:t xml:space="preserve">Documentation gets harder to source the closer you get to the application date. Use this timeline to space evidence requests across the sourcing process rather than collecting everything at once.</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xmlns:wp14="http://schemas.microsoft.com/office/word/2010/wordml" w14:paraId="78707A3B" wp14:textId="77777777">
        <w:tc>
          <w:tcPr>
            <w:tcW w:w="26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54CE69AF" wp14:textId="77777777">
            <w:pPr>
              <w:spacing w:before="0" w:after="0" w:line="252"/>
            </w:pPr>
            <w:r>
              <w:rPr>
                <w:rFonts w:ascii="Arial" w:hAnsi="Arial" w:eastAsia="Arial" w:cs="Arial"/>
                <w:b/>
                <w:bCs/>
                <w:i w:val="false"/>
                <w:iCs w:val="false"/>
                <w:color w:val="23211F"/>
                <w:sz w:val="18"/>
                <w:szCs w:val="18"/>
              </w:rPr>
              <w:t xml:space="preserve">Supplier shortlist stage</w:t>
            </w:r>
          </w:p>
        </w:tc>
        <w:tc>
          <w:tcPr>
            <w:tcW w:w="67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006B4576" wp14:textId="77777777">
            <w:pPr>
              <w:spacing w:before="0" w:after="0" w:line="248"/>
            </w:pPr>
            <w:r>
              <w:rPr>
                <w:rFonts w:ascii="Arial" w:hAnsi="Arial" w:eastAsia="Arial" w:cs="Arial"/>
                <w:b w:val="false"/>
                <w:bCs w:val="false"/>
                <w:i w:val="false"/>
                <w:iCs w:val="false"/>
                <w:color w:val="23211F"/>
                <w:sz w:val="18"/>
                <w:szCs w:val="18"/>
              </w:rPr>
              <w:t xml:space="preserve">Confirm material stream, ask for the supplier's general PPWR declaration of conformance, and request representative material declarations. This is where general supplier-level documentation lives.</w:t>
            </w:r>
          </w:p>
        </w:tc>
      </w:tr>
      <w:tr xmlns:wp14="http://schemas.microsoft.com/office/word/2010/wordml" w14:paraId="54E72569" wp14:textId="77777777">
        <w:tc>
          <w:tcPr>
            <w:tcW w:w="26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6A5E3573" wp14:textId="77777777">
            <w:pPr>
              <w:spacing w:before="0" w:after="0" w:line="252"/>
            </w:pPr>
            <w:r>
              <w:rPr>
                <w:rFonts w:ascii="Arial" w:hAnsi="Arial" w:eastAsia="Arial" w:cs="Arial"/>
                <w:b/>
                <w:bCs/>
                <w:i w:val="false"/>
                <w:iCs w:val="false"/>
                <w:color w:val="23211F"/>
                <w:sz w:val="18"/>
                <w:szCs w:val="18"/>
              </w:rPr>
              <w:t xml:space="preserve">Quoting stage</w:t>
            </w:r>
          </w:p>
        </w:tc>
        <w:tc>
          <w:tcPr>
            <w:tcW w:w="67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58DE3507" wp14:textId="77777777">
            <w:pPr>
              <w:spacing w:before="0" w:after="0" w:line="248"/>
            </w:pPr>
            <w:r>
              <w:rPr>
                <w:rFonts w:ascii="Arial" w:hAnsi="Arial" w:eastAsia="Arial" w:cs="Arial"/>
                <w:b w:val="false"/>
                <w:bCs w:val="false"/>
                <w:i w:val="false"/>
                <w:iCs w:val="false"/>
                <w:color w:val="23211F"/>
                <w:sz w:val="18"/>
                <w:szCs w:val="18"/>
              </w:rPr>
              <w:t xml:space="preserve">Request representative test reports and certifications relevant to your application. Confirm what the supplier can deliver at material level versus order level. Clarify lead times for documentation.</w:t>
            </w:r>
          </w:p>
        </w:tc>
      </w:tr>
      <w:tr xmlns:wp14="http://schemas.microsoft.com/office/word/2010/wordml" w14:paraId="1EBCA48E" wp14:textId="77777777">
        <w:tc>
          <w:tcPr>
            <w:tcW w:w="26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79A89A29" wp14:textId="77777777">
            <w:pPr>
              <w:spacing w:before="0" w:after="0" w:line="252"/>
            </w:pPr>
            <w:r>
              <w:rPr>
                <w:rFonts w:ascii="Arial" w:hAnsi="Arial" w:eastAsia="Arial" w:cs="Arial"/>
                <w:b/>
                <w:bCs/>
                <w:i w:val="false"/>
                <w:iCs w:val="false"/>
                <w:color w:val="23211F"/>
                <w:sz w:val="18"/>
                <w:szCs w:val="18"/>
              </w:rPr>
              <w:t xml:space="preserve">Order placement stage</w:t>
            </w:r>
          </w:p>
        </w:tc>
        <w:tc>
          <w:tcPr>
            <w:tcW w:w="67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7D48480" wp14:textId="77777777">
            <w:pPr>
              <w:spacing w:before="0" w:after="0" w:line="248"/>
            </w:pPr>
            <w:r>
              <w:rPr>
                <w:rFonts w:ascii="Arial" w:hAnsi="Arial" w:eastAsia="Arial" w:cs="Arial"/>
                <w:b w:val="false"/>
                <w:bCs w:val="false"/>
                <w:i w:val="false"/>
                <w:iCs w:val="false"/>
                <w:color w:val="23211F"/>
                <w:sz w:val="18"/>
                <w:szCs w:val="18"/>
              </w:rPr>
              <w:t xml:space="preserve">Request order-specific evidence where labelling, construction, print, coating or food-contact are involved. Confirm per-order documentation such as recycled content reports and any required test results.</w:t>
            </w:r>
          </w:p>
        </w:tc>
      </w:tr>
      <w:tr xmlns:wp14="http://schemas.microsoft.com/office/word/2010/wordml" w14:paraId="59B0083B" wp14:textId="77777777">
        <w:tc>
          <w:tcPr>
            <w:tcW w:w="26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22E2C0FE" wp14:textId="77777777">
            <w:pPr>
              <w:spacing w:before="0" w:after="0" w:line="252"/>
            </w:pPr>
            <w:r>
              <w:rPr>
                <w:rFonts w:ascii="Arial" w:hAnsi="Arial" w:eastAsia="Arial" w:cs="Arial"/>
                <w:b/>
                <w:bCs/>
                <w:i w:val="false"/>
                <w:iCs w:val="false"/>
                <w:color w:val="23211F"/>
                <w:sz w:val="18"/>
                <w:szCs w:val="18"/>
              </w:rPr>
              <w:t xml:space="preserve">Before 12 August 2026</w:t>
            </w:r>
          </w:p>
        </w:tc>
        <w:tc>
          <w:tcPr>
            <w:tcW w:w="67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2F692553" wp14:textId="77777777">
            <w:pPr>
              <w:spacing w:before="0" w:after="0" w:line="248"/>
            </w:pPr>
            <w:r>
              <w:rPr>
                <w:rFonts w:ascii="Arial" w:hAnsi="Arial" w:eastAsia="Arial" w:cs="Arial"/>
                <w:b w:val="false"/>
                <w:bCs w:val="false"/>
                <w:i w:val="false"/>
                <w:iCs w:val="false"/>
                <w:color w:val="23211F"/>
                <w:sz w:val="18"/>
                <w:szCs w:val="18"/>
              </w:rPr>
              <w:t xml:space="preserve">All documentation referenced inside your EU Declaration of Conformity and Technical Documentation should be in place. Gaps identified now are far easier to close than gaps found at the deadline.</w:t>
            </w:r>
          </w:p>
        </w:tc>
      </w:tr>
    </w:tbl>
    <w:p xmlns:wp14="http://schemas.microsoft.com/office/word/2010/wordml" w14:paraId="6B44F2D1"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Comparison summary</w:t>
      </w:r>
    </w:p>
    <w:p xmlns:wp14="http://schemas.microsoft.com/office/word/2010/wordml" w14:paraId="0EF0D44D" wp14:textId="77777777">
      <w:pPr>
        <w:spacing w:before="0" w:after="120" w:line="264"/>
      </w:pPr>
      <w:r>
        <w:rPr>
          <w:rFonts w:ascii="Arial" w:hAnsi="Arial" w:eastAsia="Arial" w:cs="Arial"/>
          <w:b w:val="false"/>
          <w:bCs w:val="false"/>
          <w:i w:val="false"/>
          <w:iCs w:val="false"/>
          <w:color w:val="23211F"/>
          <w:sz w:val="21"/>
          <w:szCs w:val="21"/>
        </w:rPr>
        <w:t xml:space="preserve">Use this table when reviewing more than one supplier against the same brief. Score each question Green, Amber or Red based on the supplier review pages above, then mark overall procurement readiness in the final row.</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960"/>
        <w:gridCol w:w="1800"/>
        <w:gridCol w:w="1800"/>
        <w:gridCol w:w="1800"/>
      </w:tblGrid>
      <w:tr xmlns:wp14="http://schemas.microsoft.com/office/word/2010/wordml" w14:paraId="3962FC1D" wp14:textId="77777777">
        <w:trPr>
          <w:tblHeader/>
        </w:trPr>
        <w:tc>
          <w:tcPr>
            <w:tcW w:w="3960" w:type="dxa"/>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4198853A" wp14:textId="77777777">
            <w:pPr>
              <w:spacing w:before="0" w:after="0" w:line="252"/>
            </w:pPr>
            <w:r>
              <w:rPr>
                <w:rFonts w:ascii="Arial" w:hAnsi="Arial" w:eastAsia="Arial" w:cs="Arial"/>
                <w:b/>
                <w:bCs/>
                <w:i w:val="false"/>
                <w:iCs w:val="false"/>
                <w:color w:val="FFFFFF"/>
                <w:sz w:val="18"/>
                <w:szCs w:val="18"/>
              </w:rPr>
              <w:t xml:space="preserve">Question</w:t>
            </w:r>
          </w:p>
        </w:tc>
        <w:tc>
          <w:tcPr>
            <w:tcW w:w="1800" w:type="dxa"/>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353826E8" wp14:textId="77777777">
            <w:pPr>
              <w:spacing w:before="0" w:after="0" w:line="252"/>
            </w:pPr>
            <w:r>
              <w:rPr>
                <w:rFonts w:ascii="Arial" w:hAnsi="Arial" w:eastAsia="Arial" w:cs="Arial"/>
                <w:b/>
                <w:bCs/>
                <w:i w:val="false"/>
                <w:iCs w:val="false"/>
                <w:color w:val="FFFFFF"/>
                <w:sz w:val="18"/>
                <w:szCs w:val="18"/>
              </w:rPr>
              <w:t xml:space="preserve">Supplier A</w:t>
            </w:r>
          </w:p>
        </w:tc>
        <w:tc>
          <w:tcPr>
            <w:tcW w:w="1800" w:type="dxa"/>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03266BFC" wp14:textId="77777777">
            <w:pPr>
              <w:spacing w:before="0" w:after="0" w:line="252"/>
            </w:pPr>
            <w:r>
              <w:rPr>
                <w:rFonts w:ascii="Arial" w:hAnsi="Arial" w:eastAsia="Arial" w:cs="Arial"/>
                <w:b/>
                <w:bCs/>
                <w:i w:val="false"/>
                <w:iCs w:val="false"/>
                <w:color w:val="FFFFFF"/>
                <w:sz w:val="18"/>
                <w:szCs w:val="18"/>
              </w:rPr>
              <w:t xml:space="preserve">Supplier B</w:t>
            </w:r>
          </w:p>
        </w:tc>
        <w:tc>
          <w:tcPr>
            <w:tcW w:w="1800" w:type="dxa"/>
            <w:tcBorders>
              <w:top w:val="single" w:color="E2DED9" w:sz="2"/>
              <w:left w:val="single" w:color="E2DED9" w:sz="2"/>
              <w:bottom w:val="single" w:color="E2DED9" w:sz="2"/>
              <w:right w:val="single" w:color="E2DED9" w:sz="2"/>
            </w:tcBorders>
            <w:shd w:val="clear" w:color="auto" w:fill="F58741"/>
            <w:tcMar>
              <w:top w:w="70" w:type="dxa"/>
              <w:left w:w="130" w:type="dxa"/>
              <w:bottom w:w="70" w:type="dxa"/>
              <w:right w:w="130" w:type="dxa"/>
            </w:tcMar>
            <w:vAlign w:val="top"/>
          </w:tcPr>
          <w:p w14:paraId="2CD4A0A6" wp14:textId="77777777">
            <w:pPr>
              <w:spacing w:before="0" w:after="0" w:line="252"/>
            </w:pPr>
            <w:r>
              <w:rPr>
                <w:rFonts w:ascii="Arial" w:hAnsi="Arial" w:eastAsia="Arial" w:cs="Arial"/>
                <w:b/>
                <w:bCs/>
                <w:i w:val="false"/>
                <w:iCs w:val="false"/>
                <w:color w:val="FFFFFF"/>
                <w:sz w:val="18"/>
                <w:szCs w:val="18"/>
              </w:rPr>
              <w:t xml:space="preserve">Supplier C</w:t>
            </w:r>
          </w:p>
        </w:tc>
      </w:tr>
      <w:tr xmlns:wp14="http://schemas.microsoft.com/office/word/2010/wordml" w14:paraId="639E32DD"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46C39874" wp14:textId="77777777">
            <w:pPr>
              <w:spacing w:before="0" w:after="0" w:line="252"/>
            </w:pPr>
            <w:r>
              <w:rPr>
                <w:rFonts w:ascii="Arial" w:hAnsi="Arial" w:eastAsia="Arial" w:cs="Arial"/>
                <w:b w:val="false"/>
                <w:bCs w:val="false"/>
                <w:i w:val="false"/>
                <w:iCs w:val="false"/>
                <w:color w:val="23211F"/>
                <w:sz w:val="18"/>
                <w:szCs w:val="18"/>
              </w:rPr>
              <w:t xml:space="preserve">Q1. Material stream identified</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3CF2D8B6"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0FB78278"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FC39945"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5A165BCE"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2EE18843" wp14:textId="77777777">
            <w:pPr>
              <w:spacing w:before="0" w:after="0" w:line="252"/>
            </w:pPr>
            <w:r>
              <w:rPr>
                <w:rFonts w:ascii="Arial" w:hAnsi="Arial" w:eastAsia="Arial" w:cs="Arial"/>
                <w:b w:val="false"/>
                <w:bCs w:val="false"/>
                <w:i w:val="false"/>
                <w:iCs w:val="false"/>
                <w:color w:val="23211F"/>
                <w:sz w:val="18"/>
                <w:szCs w:val="18"/>
              </w:rPr>
              <w:t xml:space="preserve">Q2. Recycled-content claim evidence</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0562CB0E"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34CE0A41"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2EBF3C5"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7B1CDB15"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2FC811D3" wp14:textId="77777777">
            <w:pPr>
              <w:spacing w:before="0" w:after="0" w:line="252"/>
            </w:pPr>
            <w:r>
              <w:rPr>
                <w:rFonts w:ascii="Arial" w:hAnsi="Arial" w:eastAsia="Arial" w:cs="Arial"/>
                <w:b w:val="false"/>
                <w:bCs w:val="false"/>
                <w:i w:val="false"/>
                <w:iCs w:val="false"/>
                <w:color w:val="23211F"/>
                <w:sz w:val="18"/>
                <w:szCs w:val="18"/>
              </w:rPr>
              <w:t xml:space="preserve">Q3. Material declarations / test reports</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D98A12B"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2946DB82"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5997CC1D"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0CC325A1"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59011307" wp14:textId="77777777">
            <w:pPr>
              <w:spacing w:before="0" w:after="0" w:line="252"/>
            </w:pPr>
            <w:r>
              <w:rPr>
                <w:rFonts w:ascii="Arial" w:hAnsi="Arial" w:eastAsia="Arial" w:cs="Arial"/>
                <w:b w:val="false"/>
                <w:bCs w:val="false"/>
                <w:i w:val="false"/>
                <w:iCs w:val="false"/>
                <w:color w:val="23211F"/>
                <w:sz w:val="18"/>
                <w:szCs w:val="18"/>
              </w:rPr>
              <w:t xml:space="preserve">Q4. Substances of concern assessed</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10FFD37"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B699379"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3FE9F23F"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7E551000"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4D678FA" wp14:textId="77777777">
            <w:pPr>
              <w:spacing w:before="0" w:after="0" w:line="252"/>
            </w:pPr>
            <w:r>
              <w:rPr>
                <w:rFonts w:ascii="Arial" w:hAnsi="Arial" w:eastAsia="Arial" w:cs="Arial"/>
                <w:b w:val="false"/>
                <w:bCs w:val="false"/>
                <w:i w:val="false"/>
                <w:iCs w:val="false"/>
                <w:color w:val="23211F"/>
                <w:sz w:val="18"/>
                <w:szCs w:val="18"/>
              </w:rPr>
              <w:t xml:space="preserve">Q5. Representative vs order-specific evidence</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F72F646"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08CE6F91"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1CDCEAD"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23176275" wp14:textId="77777777">
        <w:tc>
          <w:tcPr>
            <w:tcW w:w="396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1E982F91" wp14:textId="77777777">
            <w:pPr>
              <w:spacing w:before="0" w:after="0" w:line="252"/>
            </w:pPr>
            <w:r>
              <w:rPr>
                <w:rFonts w:ascii="Arial" w:hAnsi="Arial" w:eastAsia="Arial" w:cs="Arial"/>
                <w:b w:val="false"/>
                <w:bCs w:val="false"/>
                <w:i w:val="false"/>
                <w:iCs w:val="false"/>
                <w:color w:val="23211F"/>
                <w:sz w:val="18"/>
                <w:szCs w:val="18"/>
              </w:rPr>
              <w:t xml:space="preserve">Q6. Supports brand's Technical Documentation</w:t>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6BB9E253"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23DE523C"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tcMar>
              <w:top w:w="70" w:type="dxa"/>
              <w:left w:w="130" w:type="dxa"/>
              <w:bottom w:w="70" w:type="dxa"/>
              <w:right w:w="130" w:type="dxa"/>
            </w:tcMar>
            <w:vAlign w:val="top"/>
          </w:tcPr>
          <w:p w14:paraId="52E56223" wp14:textId="77777777">
            <w:pPr>
              <w:spacing w:before="0" w:after="0" w:line="252"/>
            </w:pPr>
            <w:r>
              <w:rPr>
                <w:rFonts w:ascii="Arial" w:hAnsi="Arial" w:eastAsia="Arial" w:cs="Arial"/>
                <w:b w:val="false"/>
                <w:bCs w:val="false"/>
                <w:i w:val="false"/>
                <w:iCs w:val="false"/>
                <w:color w:val="23211F"/>
                <w:sz w:val="20"/>
                <w:szCs w:val="20"/>
              </w:rPr>
            </w:r>
          </w:p>
        </w:tc>
      </w:tr>
      <w:tr xmlns:wp14="http://schemas.microsoft.com/office/word/2010/wordml" w14:paraId="1C6A3C8D" wp14:textId="77777777">
        <w:tc>
          <w:tcPr>
            <w:tcW w:w="396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43A81181" wp14:textId="77777777">
            <w:pPr>
              <w:spacing w:before="0" w:after="0" w:line="252"/>
            </w:pPr>
            <w:r>
              <w:rPr>
                <w:rFonts w:ascii="Arial" w:hAnsi="Arial" w:eastAsia="Arial" w:cs="Arial"/>
                <w:b/>
                <w:bCs/>
                <w:i w:val="false"/>
                <w:iCs w:val="false"/>
                <w:color w:val="23211F"/>
                <w:sz w:val="18"/>
                <w:szCs w:val="18"/>
              </w:rPr>
              <w:t xml:space="preserve">Overall procurement readiness</w:t>
            </w:r>
          </w:p>
        </w:tc>
        <w:tc>
          <w:tcPr>
            <w:tcW w:w="18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07547A01"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5043CB0F" wp14:textId="77777777">
            <w:pPr>
              <w:spacing w:before="0" w:after="0" w:line="252"/>
            </w:pPr>
            <w:r>
              <w:rPr>
                <w:rFonts w:ascii="Arial" w:hAnsi="Arial" w:eastAsia="Arial" w:cs="Arial"/>
                <w:b w:val="false"/>
                <w:bCs w:val="false"/>
                <w:i w:val="false"/>
                <w:iCs w:val="false"/>
                <w:color w:val="23211F"/>
                <w:sz w:val="20"/>
                <w:szCs w:val="20"/>
              </w:rPr>
            </w:r>
          </w:p>
        </w:tc>
        <w:tc>
          <w:tcPr>
            <w:tcW w:w="1800" w:type="dxa"/>
            <w:tcBorders>
              <w:top w:val="single" w:color="E2DED9" w:sz="2"/>
              <w:left w:val="single" w:color="E2DED9" w:sz="2"/>
              <w:bottom w:val="single" w:color="E2DED9" w:sz="2"/>
              <w:right w:val="single" w:color="E2DED9" w:sz="2"/>
            </w:tcBorders>
            <w:shd w:val="clear" w:color="auto" w:fill="FDEBDC"/>
            <w:tcMar>
              <w:top w:w="70" w:type="dxa"/>
              <w:left w:w="130" w:type="dxa"/>
              <w:bottom w:w="70" w:type="dxa"/>
              <w:right w:w="130" w:type="dxa"/>
            </w:tcMar>
            <w:vAlign w:val="top"/>
          </w:tcPr>
          <w:p w14:paraId="07459315" wp14:textId="77777777">
            <w:pPr>
              <w:spacing w:before="0" w:after="0" w:line="252"/>
            </w:pPr>
            <w:r>
              <w:rPr>
                <w:rFonts w:ascii="Arial" w:hAnsi="Arial" w:eastAsia="Arial" w:cs="Arial"/>
                <w:b w:val="false"/>
                <w:bCs w:val="false"/>
                <w:i w:val="false"/>
                <w:iCs w:val="false"/>
                <w:color w:val="23211F"/>
                <w:sz w:val="20"/>
                <w:szCs w:val="20"/>
              </w:rPr>
            </w:r>
          </w:p>
        </w:tc>
      </w:tr>
    </w:tbl>
    <w:p xmlns:wp14="http://schemas.microsoft.com/office/word/2010/wordml" w14:paraId="38E7A760"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How Waste2Wear answers these six questions</w:t>
      </w:r>
    </w:p>
    <w:p xmlns:wp14="http://schemas.microsoft.com/office/word/2010/wordml" w14:paraId="3A01502E" wp14:textId="77777777">
      <w:pPr>
        <w:spacing w:before="0" w:after="60" w:line="264"/>
      </w:pPr>
      <w:r>
        <w:rPr>
          <w:rFonts w:ascii="Arial" w:hAnsi="Arial" w:eastAsia="Arial" w:cs="Arial"/>
          <w:b w:val="false"/>
          <w:bCs w:val="false"/>
          <w:i w:val="false"/>
          <w:iCs w:val="false"/>
          <w:color w:val="23211F"/>
          <w:sz w:val="21"/>
          <w:szCs w:val="21"/>
        </w:rPr>
        <w:t xml:space="preserve">We produce finished products and reusable packaging using recycled materials, including recycled polypropylene reusable bags. This is a short summary of how we respond to each of the six questions, included here so the checklist can be benchmarked against a concrete supplier example.</w:t>
      </w:r>
    </w:p>
    <w:p xmlns:wp14="http://schemas.microsoft.com/office/word/2010/wordml" w14:paraId="56DB542D" wp14:textId="77777777">
      <w:pPr>
        <w:spacing w:before="140" w:after="40" w:line="252"/>
      </w:pPr>
      <w:r>
        <w:rPr>
          <w:rFonts w:ascii="Arial" w:hAnsi="Arial" w:eastAsia="Arial" w:cs="Arial"/>
          <w:b/>
          <w:bCs/>
          <w:i w:val="false"/>
          <w:iCs w:val="false"/>
          <w:color w:val="F58741"/>
          <w:sz w:val="20"/>
          <w:szCs w:val="20"/>
        </w:rPr>
        <w:t xml:space="preserve">Material stream</w:t>
      </w:r>
    </w:p>
    <w:p xmlns:wp14="http://schemas.microsoft.com/office/word/2010/wordml" w14:paraId="7EE73095" wp14:textId="77777777">
      <w:pPr>
        <w:spacing w:before="0" w:after="80" w:line="264"/>
      </w:pPr>
      <w:r>
        <w:rPr>
          <w:rFonts w:ascii="Arial" w:hAnsi="Arial" w:eastAsia="Arial" w:cs="Arial"/>
          <w:b w:val="false"/>
          <w:bCs w:val="false"/>
          <w:i w:val="false"/>
          <w:iCs w:val="false"/>
          <w:color w:val="23211F"/>
          <w:sz w:val="21"/>
          <w:szCs w:val="21"/>
        </w:rPr>
        <w:t xml:space="preserve">Our recycled polypropylene reusable bags are produced from food-grade post-consumer packaging. We chose this input source specifically to strengthen our position on input quality where substance restrictions are most relevant.</w:t>
      </w:r>
    </w:p>
    <w:p xmlns:wp14="http://schemas.microsoft.com/office/word/2010/wordml" w14:paraId="3C840F8C" wp14:textId="77777777">
      <w:pPr>
        <w:spacing w:before="140" w:after="40" w:line="252"/>
      </w:pPr>
      <w:r>
        <w:rPr>
          <w:rFonts w:ascii="Arial" w:hAnsi="Arial" w:eastAsia="Arial" w:cs="Arial"/>
          <w:b/>
          <w:bCs/>
          <w:i w:val="false"/>
          <w:iCs w:val="false"/>
          <w:color w:val="F58741"/>
          <w:sz w:val="20"/>
          <w:szCs w:val="20"/>
        </w:rPr>
        <w:t xml:space="preserve">Evidence for recycled content claims</w:t>
      </w:r>
    </w:p>
    <w:p xmlns:wp14="http://schemas.microsoft.com/office/word/2010/wordml" w14:paraId="5154AFF1" wp14:textId="77777777">
      <w:pPr>
        <w:spacing w:before="0" w:after="80" w:line="264"/>
      </w:pPr>
      <w:r>
        <w:rPr>
          <w:rFonts w:ascii="Arial" w:hAnsi="Arial" w:eastAsia="Arial" w:cs="Arial"/>
          <w:b w:val="false"/>
          <w:bCs w:val="false"/>
          <w:i w:val="false"/>
          <w:iCs w:val="false"/>
          <w:color w:val="23211F"/>
          <w:sz w:val="21"/>
          <w:szCs w:val="21"/>
        </w:rPr>
        <w:t xml:space="preserve">Waste2Wear is GRS certified, which provides third-party verification of recycled content. In addition, every Waste2Wear production run is delivered with an Environmental Impact Report. The EIR provides per-order data on the recycled material used and the energy, water and CO2 savings compared with virgin equivalents, and accompanies each individual order.</w:t>
      </w:r>
    </w:p>
    <w:p xmlns:wp14="http://schemas.microsoft.com/office/word/2010/wordml" w14:paraId="4290A7F7" wp14:textId="77777777">
      <w:pPr>
        <w:spacing w:before="140" w:after="40" w:line="252"/>
      </w:pPr>
      <w:r>
        <w:rPr>
          <w:rFonts w:ascii="Arial" w:hAnsi="Arial" w:eastAsia="Arial" w:cs="Arial"/>
          <w:b/>
          <w:bCs/>
          <w:i w:val="false"/>
          <w:iCs w:val="false"/>
          <w:color w:val="F58741"/>
          <w:sz w:val="20"/>
          <w:szCs w:val="20"/>
        </w:rPr>
        <w:t xml:space="preserve">Material declarations and test reports</w:t>
      </w:r>
    </w:p>
    <w:p xmlns:wp14="http://schemas.microsoft.com/office/word/2010/wordml" w14:paraId="6290CB49" wp14:textId="77777777">
      <w:pPr>
        <w:spacing w:before="0" w:after="80" w:line="264"/>
      </w:pPr>
      <w:r>
        <w:rPr>
          <w:rFonts w:ascii="Arial" w:hAnsi="Arial" w:eastAsia="Arial" w:cs="Arial"/>
          <w:b w:val="false"/>
          <w:bCs w:val="false"/>
          <w:i w:val="false"/>
          <w:iCs w:val="false"/>
          <w:color w:val="23211F"/>
          <w:sz w:val="21"/>
          <w:szCs w:val="21"/>
        </w:rPr>
        <w:t xml:space="preserve">We provide representative material information at supplier level and supporting evidence on request. Our factories carry BSCI, GOTS and RDS certifications, which sit alongside material-level evidence as part of the wider documentation package.</w:t>
      </w:r>
    </w:p>
    <w:p xmlns:wp14="http://schemas.microsoft.com/office/word/2010/wordml" w14:paraId="78DD8A9B" wp14:textId="77777777">
      <w:pPr>
        <w:spacing w:before="140" w:after="40" w:line="252"/>
      </w:pPr>
      <w:r>
        <w:rPr>
          <w:rFonts w:ascii="Arial" w:hAnsi="Arial" w:eastAsia="Arial" w:cs="Arial"/>
          <w:b/>
          <w:bCs/>
          <w:i w:val="false"/>
          <w:iCs w:val="false"/>
          <w:color w:val="F58741"/>
          <w:sz w:val="20"/>
          <w:szCs w:val="20"/>
        </w:rPr>
        <w:t xml:space="preserve">Substances of concern</w:t>
      </w:r>
    </w:p>
    <w:p xmlns:wp14="http://schemas.microsoft.com/office/word/2010/wordml" w14:paraId="6563A317" wp14:textId="77777777">
      <w:pPr>
        <w:spacing w:before="0" w:after="80" w:line="264"/>
      </w:pPr>
      <w:r>
        <w:rPr>
          <w:rFonts w:ascii="Arial" w:hAnsi="Arial" w:eastAsia="Arial" w:cs="Arial"/>
          <w:b w:val="false"/>
          <w:bCs w:val="false"/>
          <w:i w:val="false"/>
          <w:iCs w:val="false"/>
          <w:color w:val="23211F"/>
          <w:sz w:val="21"/>
          <w:szCs w:val="21"/>
        </w:rPr>
        <w:t xml:space="preserve">Our use of food-grade post-consumer packaging is intended to strengthen our position on input quality for applications where substance restrictions are most relevant. Additional substance evidence is available on request.</w:t>
      </w:r>
    </w:p>
    <w:p xmlns:wp14="http://schemas.microsoft.com/office/word/2010/wordml" w14:paraId="66E8110C" wp14:textId="77777777">
      <w:pPr>
        <w:spacing w:before="140" w:after="40" w:line="252"/>
      </w:pPr>
      <w:r>
        <w:rPr>
          <w:rFonts w:ascii="Arial" w:hAnsi="Arial" w:eastAsia="Arial" w:cs="Arial"/>
          <w:b/>
          <w:bCs/>
          <w:i w:val="false"/>
          <w:iCs w:val="false"/>
          <w:color w:val="F58741"/>
          <w:sz w:val="20"/>
          <w:szCs w:val="20"/>
        </w:rPr>
        <w:t xml:space="preserve">Representative versus order-specific</w:t>
      </w:r>
    </w:p>
    <w:p xmlns:wp14="http://schemas.microsoft.com/office/word/2010/wordml" w14:paraId="056B3FD6" wp14:textId="77777777">
      <w:pPr>
        <w:spacing w:before="0" w:after="80" w:line="264"/>
      </w:pPr>
      <w:r>
        <w:rPr>
          <w:rFonts w:ascii="Arial" w:hAnsi="Arial" w:eastAsia="Arial" w:cs="Arial"/>
          <w:b w:val="false"/>
          <w:bCs w:val="false"/>
          <w:i w:val="false"/>
          <w:iCs w:val="false"/>
          <w:color w:val="23211F"/>
          <w:sz w:val="21"/>
          <w:szCs w:val="21"/>
        </w:rPr>
        <w:t xml:space="preserve">We provide material-level documentation in advance, and product-level or order-level documentation where construction, print or coating make general evidence insufficient. The split is agreed up front rather than at the deadline.</w:t>
      </w:r>
    </w:p>
    <w:p xmlns:wp14="http://schemas.microsoft.com/office/word/2010/wordml" w14:paraId="71FE09DF" wp14:textId="77777777">
      <w:pPr>
        <w:spacing w:before="140" w:after="40" w:line="252"/>
      </w:pPr>
      <w:r>
        <w:rPr>
          <w:rFonts w:ascii="Arial" w:hAnsi="Arial" w:eastAsia="Arial" w:cs="Arial"/>
          <w:b/>
          <w:bCs/>
          <w:i w:val="false"/>
          <w:iCs w:val="false"/>
          <w:color w:val="F58741"/>
          <w:sz w:val="20"/>
          <w:szCs w:val="20"/>
        </w:rPr>
        <w:t xml:space="preserve">Recycled polyester (rPET)</w:t>
      </w:r>
    </w:p>
    <w:p xmlns:wp14="http://schemas.microsoft.com/office/word/2010/wordml" w14:paraId="291D0332" wp14:textId="77777777">
      <w:pPr>
        <w:spacing w:before="0" w:after="80" w:line="264"/>
      </w:pPr>
      <w:r>
        <w:rPr>
          <w:rFonts w:ascii="Arial" w:hAnsi="Arial" w:eastAsia="Arial" w:cs="Arial"/>
          <w:b w:val="false"/>
          <w:bCs w:val="false"/>
          <w:i w:val="false"/>
          <w:iCs w:val="false"/>
          <w:color w:val="23211F"/>
          <w:sz w:val="21"/>
          <w:szCs w:val="21"/>
        </w:rPr>
        <w:t xml:space="preserve">For brands that require additional verification on rPET specifically, we operate RA3, our in-house recycled content verification methodology. RA3 has been independently validated by Wessling, a German testing and certification institute, and Wessling can conduct independent testing on request and issue certified results.</w:t>
      </w:r>
    </w:p>
    <w:p xmlns:wp14="http://schemas.microsoft.com/office/word/2010/wordml" w14:paraId="75AE0820" wp14:textId="77777777">
      <w:pPr>
        <w:spacing w:before="140" w:after="40" w:line="252"/>
      </w:pPr>
      <w:r>
        <w:rPr>
          <w:rFonts w:ascii="Arial" w:hAnsi="Arial" w:eastAsia="Arial" w:cs="Arial"/>
          <w:b/>
          <w:bCs/>
          <w:i w:val="false"/>
          <w:iCs w:val="false"/>
          <w:color w:val="F58741"/>
          <w:sz w:val="20"/>
          <w:szCs w:val="20"/>
        </w:rPr>
        <w:t xml:space="preserve">Supporting Technical Documentation</w:t>
      </w:r>
    </w:p>
    <w:p xmlns:wp14="http://schemas.microsoft.com/office/word/2010/wordml" w14:paraId="24561B41" wp14:textId="77777777">
      <w:pPr>
        <w:spacing w:before="0" w:after="80" w:line="264"/>
      </w:pPr>
      <w:r>
        <w:rPr>
          <w:rFonts w:ascii="Arial" w:hAnsi="Arial" w:eastAsia="Arial" w:cs="Arial"/>
          <w:b w:val="false"/>
          <w:bCs w:val="false"/>
          <w:i w:val="false"/>
          <w:iCs w:val="false"/>
          <w:color w:val="23211F"/>
          <w:sz w:val="21"/>
          <w:szCs w:val="21"/>
        </w:rPr>
        <w:t xml:space="preserve">We provide material and certification information in a format that can be referenced inside the buyer's own conformity assessment file.</w:t>
      </w:r>
    </w:p>
    <w:p xmlns:wp14="http://schemas.microsoft.com/office/word/2010/wordml" w14:paraId="65FEB03B" wp14:textId="77777777">
      <w:pPr>
        <w:keepNext/>
        <w:pBdr>
          <w:bottom w:val="single" w:color="F58741" w:sz="8" w:space="4"/>
        </w:pBdr>
        <w:spacing w:before="320" w:after="160" w:line="252"/>
      </w:pPr>
      <w:r>
        <w:rPr>
          <w:rFonts w:ascii="Arial" w:hAnsi="Arial" w:eastAsia="Arial" w:cs="Arial"/>
          <w:b/>
          <w:bCs/>
          <w:i w:val="false"/>
          <w:iCs w:val="false"/>
          <w:color w:val="F58741"/>
          <w:sz w:val="28"/>
          <w:szCs w:val="28"/>
        </w:rPr>
        <w:t xml:space="preserve">Sources and further reading</w:t>
      </w:r>
    </w:p>
    <w:p xmlns:wp14="http://schemas.microsoft.com/office/word/2010/wordml" w14:paraId="3B2E7215" wp14:textId="77777777">
      <w:pPr>
        <w:spacing w:before="0" w:after="60" w:line="252"/>
      </w:pPr>
      <w:r>
        <w:rPr>
          <w:rFonts w:ascii="Arial" w:hAnsi="Arial" w:eastAsia="Arial" w:cs="Arial"/>
          <w:b/>
          <w:bCs/>
          <w:i w:val="false"/>
          <w:iCs w:val="false"/>
          <w:color w:val="23211F"/>
          <w:sz w:val="19"/>
          <w:szCs w:val="19"/>
        </w:rPr>
        <w:t xml:space="preserve">European Commission, Packaging waste. </w:t>
      </w:r>
      <w:r>
        <w:rPr>
          <w:rFonts w:ascii="Arial" w:hAnsi="Arial" w:eastAsia="Arial" w:cs="Arial"/>
          <w:b w:val="false"/>
          <w:bCs w:val="false"/>
          <w:i w:val="false"/>
          <w:iCs w:val="false"/>
          <w:color w:val="6B6864"/>
          <w:sz w:val="19"/>
          <w:szCs w:val="19"/>
        </w:rPr>
        <w:t xml:space="preserve">environment.ec.europa.eu/topics/waste-and-recycling/packaging-waste_en</w:t>
      </w:r>
    </w:p>
    <w:p xmlns:wp14="http://schemas.microsoft.com/office/word/2010/wordml" w14:paraId="43E6A9F7" wp14:textId="77777777">
      <w:pPr>
        <w:spacing w:before="0" w:after="60" w:line="252"/>
      </w:pPr>
      <w:r>
        <w:rPr>
          <w:rFonts w:ascii="Arial" w:hAnsi="Arial" w:eastAsia="Arial" w:cs="Arial"/>
          <w:b/>
          <w:bCs/>
          <w:i w:val="false"/>
          <w:iCs w:val="false"/>
          <w:color w:val="23211F"/>
          <w:sz w:val="19"/>
          <w:szCs w:val="19"/>
        </w:rPr>
        <w:t xml:space="preserve">EUR-Lex, Regulation (EU) 2025/40 on packaging and packaging waste. </w:t>
      </w:r>
      <w:r>
        <w:rPr>
          <w:rFonts w:ascii="Arial" w:hAnsi="Arial" w:eastAsia="Arial" w:cs="Arial"/>
          <w:b w:val="false"/>
          <w:bCs w:val="false"/>
          <w:i w:val="false"/>
          <w:iCs w:val="false"/>
          <w:color w:val="6B6864"/>
          <w:sz w:val="19"/>
          <w:szCs w:val="19"/>
        </w:rPr>
        <w:t xml:space="preserve">eur-lex.europa.eu/eli/reg/2025/40/oj/eng</w:t>
      </w:r>
    </w:p>
    <w:p xmlns:wp14="http://schemas.microsoft.com/office/word/2010/wordml" w14:paraId="02439A39" wp14:textId="77777777">
      <w:pPr>
        <w:spacing w:before="0" w:after="60" w:line="252"/>
      </w:pPr>
      <w:r>
        <w:rPr>
          <w:rFonts w:ascii="Arial" w:hAnsi="Arial" w:eastAsia="Arial" w:cs="Arial"/>
          <w:b/>
          <w:bCs/>
          <w:i w:val="false"/>
          <w:iCs w:val="false"/>
          <w:color w:val="23211F"/>
          <w:sz w:val="19"/>
          <w:szCs w:val="19"/>
        </w:rPr>
        <w:t xml:space="preserve">European Commission, FAQ on the Packaging and Packaging Waste Regulation. </w:t>
      </w:r>
      <w:r>
        <w:rPr>
          <w:rFonts w:ascii="Arial" w:hAnsi="Arial" w:eastAsia="Arial" w:cs="Arial"/>
          <w:b w:val="false"/>
          <w:bCs w:val="false"/>
          <w:i w:val="false"/>
          <w:iCs w:val="false"/>
          <w:color w:val="6B6864"/>
          <w:sz w:val="19"/>
          <w:szCs w:val="19"/>
        </w:rPr>
        <w:t xml:space="preserve">environment.ec.europa.eu/publications/faq-packaging-and-packaging-waste-regulation-ppwr_en</w:t>
      </w:r>
    </w:p>
    <w:p xmlns:wp14="http://schemas.microsoft.com/office/word/2010/wordml" w14:paraId="31FEF9AC" wp14:textId="77777777">
      <w:pPr>
        <w:spacing w:before="0" w:after="120" w:line="252"/>
      </w:pPr>
      <w:r>
        <w:rPr>
          <w:rFonts w:ascii="Arial" w:hAnsi="Arial" w:eastAsia="Arial" w:cs="Arial"/>
          <w:b/>
          <w:bCs/>
          <w:i w:val="false"/>
          <w:iCs w:val="false"/>
          <w:color w:val="23211F"/>
          <w:sz w:val="19"/>
          <w:szCs w:val="19"/>
        </w:rPr>
        <w:t xml:space="preserve">European Commission, Guidance document on the Packaging and Packaging Waste Regulation. </w:t>
      </w:r>
      <w:r>
        <w:rPr>
          <w:rFonts w:ascii="Arial" w:hAnsi="Arial" w:eastAsia="Arial" w:cs="Arial"/>
          <w:b w:val="false"/>
          <w:bCs w:val="false"/>
          <w:i w:val="false"/>
          <w:iCs w:val="false"/>
          <w:color w:val="6B6864"/>
          <w:sz w:val="19"/>
          <w:szCs w:val="19"/>
        </w:rPr>
        <w:t xml:space="preserve">environment.ec.europa.eu/publications/guidance-document-packaging-and-packaging-waste-regulation-ppwr_en</w:t>
      </w:r>
    </w:p>
    <w:p xmlns:wp14="http://schemas.microsoft.com/office/word/2010/wordml" w14:paraId="683947EC" wp14:textId="77777777">
      <w:pPr>
        <w:pBdr>
          <w:top w:val="single" w:color="E2DED9" w:sz="6" w:space="6"/>
        </w:pBdr>
        <w:spacing w:before="120" w:after="0" w:line="256"/>
      </w:pPr>
      <w:r>
        <w:rPr>
          <w:rFonts w:ascii="Arial" w:hAnsi="Arial" w:eastAsia="Arial" w:cs="Arial"/>
          <w:b w:val="false"/>
          <w:bCs w:val="false"/>
          <w:i/>
          <w:iCs/>
          <w:color w:val="6B6864"/>
          <w:sz w:val="18"/>
          <w:szCs w:val="18"/>
        </w:rPr>
        <w:t xml:space="preserve">This checklist is provided by Waste2Wear as a working procurement tool and is not legal advice. Brands should confirm their specific obligations under Regulation (EU) 2025/40 with qualified compliance counsel.</w:t>
      </w:r>
    </w:p>
    <w:sectPr>
      <w:footerReference w:type="default" r:id="rId7"/>
      <w:pgSz w:w="12240" w:h="15840" w:orient="portrait"/>
      <w:pgMar w:top="1080" w:right="1440" w:bottom="108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14:paraId="46DA50E7" wp14:textId="77777777">
    <w:pPr>
      <w:pBdr>
        <w:top w:val="single" w:color="F58741" w:sz="8" w:space="6"/>
      </w:pBdr>
      <w:spacing w:before="60"/>
      <w:jc w:val="center"/>
    </w:pPr>
    <w:r>
      <w:rPr>
        <w:rFonts w:ascii="Arial" w:hAnsi="Arial" w:eastAsia="Arial" w:cs="Arial"/>
        <w:b/>
        <w:bCs/>
        <w:i w:val="false"/>
        <w:iCs w:val="false"/>
        <w:color w:val="F58741"/>
        <w:sz w:val="16"/>
        <w:szCs w:val="16"/>
      </w:rPr>
      <w:t xml:space="preserve">Waste2Wear</w:t>
    </w:r>
    <w:r>
      <w:rPr>
        <w:rFonts w:ascii="Arial" w:hAnsi="Arial" w:eastAsia="Arial" w:cs="Arial"/>
        <w:b w:val="false"/>
        <w:bCs w:val="false"/>
        <w:i w:val="false"/>
        <w:iCs w:val="false"/>
        <w:color w:val="6B6864"/>
        <w:sz w:val="16"/>
        <w:szCs w:val="16"/>
      </w:rPr>
      <w:t xml:space="preserve">   ·   Recycled Packaging Supplier Review   ·   waste2wear.com   ·   page </w:t>
    </w:r>
    <w:r>
      <w:rPr>
        <w:rFonts w:ascii="Arial" w:hAnsi="Arial" w:eastAsia="Arial" w:cs="Arial"/>
        <w:color w:val="6B6864"/>
        <w:sz w:val="16"/>
        <w:szCs w:val="16"/>
      </w:rPr>
      <w:fldChar w:fldCharType="begin"/>
    </w:r>
    <w:r>
      <w:rPr>
        <w:rFonts w:ascii="Arial" w:hAnsi="Arial" w:eastAsia="Arial" w:cs="Arial"/>
        <w:color w:val="6B6864"/>
        <w:sz w:val="16"/>
        <w:szCs w:val="16"/>
      </w:rPr>
      <w:instrText xml:space="preserve">PAGE</w:instrText>
    </w:r>
    <w:r>
      <w:rPr>
        <w:rFonts w:ascii="Arial" w:hAnsi="Arial" w:eastAsia="Arial" w:cs="Arial"/>
        <w:color w:val="6B6864"/>
        <w:sz w:val="16"/>
        <w:szCs w:val="16"/>
      </w:rPr>
      <w:fldChar w:fldCharType="separate"/>
    </w:r>
    <w:r>
      <w:rPr>
        <w:rFonts w:ascii="Arial" w:hAnsi="Arial" w:eastAsia="Arial" w:cs="Arial"/>
        <w:color w:val="6B6864"/>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d163581"/>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5EDFDA8F"/>
  <w15:docId w15:val="{9C99E8C6-F620-46DD-9D57-71EFBFC3401B}"/>
  <w:rsids>
    <w:rsidRoot w:val="2ACEFE50"/>
    <w:rsid w:val="2ACEFE5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color w:val="23211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image" Target="media/99c8456d1dc20308e39e9bb01ca0e9e98b565e1e.png" Id="rId8"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settings" Target="settings.xml" Id="rId5" /><Relationship Type="http://schemas.openxmlformats.org/officeDocument/2006/relationships/customXml" Target="../customXml/item1.xml" Id="rId10" /><Relationship Type="http://schemas.openxmlformats.org/officeDocument/2006/relationships/fontTable" Target="fontTable.xml" Id="rId9"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1B76A8C5F5149BD06BA1302D7102C" ma:contentTypeVersion="10" ma:contentTypeDescription="Create a new document." ma:contentTypeScope="" ma:versionID="8fd7758161b7c4bf4c3e7737018d89e4">
  <xsd:schema xmlns:xsd="http://www.w3.org/2001/XMLSchema" xmlns:xs="http://www.w3.org/2001/XMLSchema" xmlns:p="http://schemas.microsoft.com/office/2006/metadata/properties" xmlns:ns2="d577fead-4e50-4593-ae33-e2ee0740e810" xmlns:ns3="b2bcb92c-ea0c-4a05-b8a6-265ec104b7f6" targetNamespace="http://schemas.microsoft.com/office/2006/metadata/properties" ma:root="true" ma:fieldsID="3f57e0b9c1e2db06268512482a975bea" ns2:_="" ns3:_="">
    <xsd:import namespace="d577fead-4e50-4593-ae33-e2ee0740e810"/>
    <xsd:import namespace="b2bcb92c-ea0c-4a05-b8a6-265ec104b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7fead-4e50-4593-ae33-e2ee0740e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bd4795-def2-49ef-be14-5809e15133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cb92c-ea0c-4a05-b8a6-265ec104b7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48d4c7-bda3-46e1-9675-dfd098dab2b0}" ma:internalName="TaxCatchAll" ma:showField="CatchAllData" ma:web="b2bcb92c-ea0c-4a05-b8a6-265ec104b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cb92c-ea0c-4a05-b8a6-265ec104b7f6" xsi:nil="true"/>
    <lcf76f155ced4ddcb4097134ff3c332f xmlns="d577fead-4e50-4593-ae33-e2ee0740e8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61556-DF7B-4934-9E49-1414C8CF6598}"/>
</file>

<file path=customXml/itemProps2.xml><?xml version="1.0" encoding="utf-8"?>
<ds:datastoreItem xmlns:ds="http://schemas.openxmlformats.org/officeDocument/2006/customXml" ds:itemID="{C099CB03-BEF2-4E97-AD6B-E3F80B1E5F8F}"/>
</file>

<file path=customXml/itemProps3.xml><?xml version="1.0" encoding="utf-8"?>
<ds:datastoreItem xmlns:ds="http://schemas.openxmlformats.org/officeDocument/2006/customXml" ds:itemID="{FF7C3271-76BF-4BDD-8B45-4C63275771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Hugo Lindahl</cp:lastModifiedBy>
  <cp:revision>2</cp:revision>
  <dcterms:created xsi:type="dcterms:W3CDTF">2026-06-30T13:30:31Z</dcterms:created>
  <dcterms:modified xsi:type="dcterms:W3CDTF">2026-06-30T13:37:26Z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0x0101005261B76A8C5F5149BD06BA1302D7102C</vt:lpwstr>
  </property>
  <property fmtid="{D5CDD505-2E9C-101B-9397-08002B2CF9AE}" pid="3" name="MediaServiceImageTags">
    <vt:lpwstr/>
  </property>
</Properties>
</file>